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8512" w14:textId="2D4571F3" w:rsidR="00FD7F51" w:rsidRPr="00305E61" w:rsidRDefault="00172802" w:rsidP="00342069">
      <w:pPr>
        <w:pStyle w:val="Ttulo"/>
        <w:spacing w:before="2160"/>
        <w:rPr>
          <w:rFonts w:cs="Arial"/>
          <w:b/>
          <w:bCs/>
          <w:lang w:val="en-GB"/>
        </w:rPr>
      </w:pPr>
      <w:r w:rsidRPr="00305E61">
        <w:rPr>
          <w:rFonts w:cs="Arial"/>
          <w:b/>
          <w:bCs/>
          <w:lang w:val="en-GB"/>
        </w:rPr>
        <w:t>Revision of the General Pharmaceutical Legislation: Impact Assessment of European Commission and EFPIA proposals</w:t>
      </w:r>
      <w:r w:rsidR="003D3DCD" w:rsidRPr="00305E61">
        <w:rPr>
          <w:rFonts w:cs="Arial"/>
          <w:b/>
          <w:bCs/>
          <w:lang w:val="en-GB"/>
        </w:rPr>
        <w:t xml:space="preserve"> </w:t>
      </w:r>
    </w:p>
    <w:p w14:paraId="2E957E71" w14:textId="3D7E7257" w:rsidR="00FD7F51" w:rsidRPr="004D4BF8" w:rsidRDefault="00BF137D" w:rsidP="00594871">
      <w:pPr>
        <w:jc w:val="both"/>
        <w:rPr>
          <w:rStyle w:val="nfasissutil"/>
          <w:rFonts w:cs="Arial"/>
          <w:sz w:val="22"/>
        </w:rPr>
      </w:pPr>
      <w:r w:rsidRPr="00555BB0">
        <w:rPr>
          <w:rStyle w:val="nfasissutil"/>
          <w:rFonts w:cs="Arial"/>
          <w:sz w:val="22"/>
        </w:rPr>
        <w:t>November</w:t>
      </w:r>
      <w:r w:rsidR="00A94C33" w:rsidRPr="004D4BF8">
        <w:rPr>
          <w:rStyle w:val="nfasissutil"/>
          <w:rFonts w:cs="Arial"/>
          <w:sz w:val="22"/>
        </w:rPr>
        <w:t xml:space="preserve"> </w:t>
      </w:r>
      <w:r w:rsidR="003D3DCD" w:rsidRPr="004D4BF8">
        <w:rPr>
          <w:rStyle w:val="nfasissutil"/>
          <w:rFonts w:cs="Arial"/>
          <w:sz w:val="22"/>
        </w:rPr>
        <w:t>2023</w:t>
      </w:r>
    </w:p>
    <w:p w14:paraId="29337576" w14:textId="77777777" w:rsidR="00E96EB0" w:rsidRDefault="00E96EB0" w:rsidP="00594871">
      <w:pPr>
        <w:jc w:val="both"/>
        <w:rPr>
          <w:b/>
          <w:bCs/>
        </w:rPr>
      </w:pPr>
    </w:p>
    <w:p w14:paraId="5721DB45" w14:textId="77777777" w:rsidR="00D71DFE" w:rsidRDefault="00D71DFE" w:rsidP="00594871">
      <w:pPr>
        <w:jc w:val="both"/>
        <w:rPr>
          <w:b/>
          <w:bCs/>
        </w:rPr>
      </w:pPr>
    </w:p>
    <w:p w14:paraId="72E49C72" w14:textId="77777777" w:rsidR="00BF137D" w:rsidRDefault="00BF137D" w:rsidP="00594871">
      <w:pPr>
        <w:jc w:val="both"/>
        <w:rPr>
          <w:b/>
          <w:bCs/>
        </w:rPr>
      </w:pPr>
    </w:p>
    <w:p w14:paraId="43B24855" w14:textId="77777777" w:rsidR="00BF137D" w:rsidRDefault="00BF137D" w:rsidP="00594871">
      <w:pPr>
        <w:jc w:val="both"/>
        <w:rPr>
          <w:b/>
          <w:bCs/>
        </w:rPr>
      </w:pPr>
    </w:p>
    <w:p w14:paraId="5F9A231B" w14:textId="77777777" w:rsidR="00BF137D" w:rsidRDefault="00BF137D" w:rsidP="00594871">
      <w:pPr>
        <w:jc w:val="both"/>
        <w:rPr>
          <w:b/>
          <w:bCs/>
        </w:rPr>
      </w:pPr>
    </w:p>
    <w:p w14:paraId="05EB0DA7" w14:textId="77777777" w:rsidR="00BF137D" w:rsidRDefault="00BF137D" w:rsidP="00594871">
      <w:pPr>
        <w:jc w:val="both"/>
        <w:rPr>
          <w:b/>
          <w:bCs/>
        </w:rPr>
      </w:pPr>
    </w:p>
    <w:p w14:paraId="03C9699B" w14:textId="77777777" w:rsidR="00BF137D" w:rsidRDefault="00BF137D" w:rsidP="00594871">
      <w:pPr>
        <w:jc w:val="both"/>
        <w:rPr>
          <w:b/>
          <w:bCs/>
        </w:rPr>
      </w:pPr>
    </w:p>
    <w:p w14:paraId="3D5461AC" w14:textId="77777777" w:rsidR="00BF137D" w:rsidRDefault="00BF137D" w:rsidP="00594871">
      <w:pPr>
        <w:jc w:val="both"/>
        <w:rPr>
          <w:b/>
          <w:bCs/>
        </w:rPr>
      </w:pPr>
    </w:p>
    <w:p w14:paraId="51899DCA" w14:textId="77777777" w:rsidR="00BF137D" w:rsidRDefault="00BF137D" w:rsidP="00594871">
      <w:pPr>
        <w:jc w:val="both"/>
        <w:rPr>
          <w:b/>
          <w:bCs/>
        </w:rPr>
      </w:pPr>
    </w:p>
    <w:p w14:paraId="53B739F6" w14:textId="77777777" w:rsidR="00BF137D" w:rsidRDefault="00BF137D" w:rsidP="00594871">
      <w:pPr>
        <w:jc w:val="both"/>
        <w:rPr>
          <w:b/>
          <w:bCs/>
        </w:rPr>
      </w:pPr>
    </w:p>
    <w:p w14:paraId="687BB765" w14:textId="77777777" w:rsidR="00BF137D" w:rsidRDefault="00BF137D" w:rsidP="00594871">
      <w:pPr>
        <w:jc w:val="both"/>
        <w:rPr>
          <w:b/>
          <w:bCs/>
        </w:rPr>
      </w:pPr>
    </w:p>
    <w:p w14:paraId="74AA2E79" w14:textId="652853C0" w:rsidR="00172802" w:rsidRDefault="00172802" w:rsidP="00594871">
      <w:pPr>
        <w:jc w:val="both"/>
      </w:pPr>
      <w:r w:rsidRPr="004C5A19">
        <w:rPr>
          <w:b/>
          <w:bCs/>
        </w:rPr>
        <w:t xml:space="preserve">Funding &amp; contributions: </w:t>
      </w:r>
      <w:r w:rsidRPr="004C5A19">
        <w:t>This report was commissioned and funded by the European Federation of Pharmaceutical Industry Associations (EFPIA). The conceptual framework, model structure and parameters were developed by Dolon, with input from EFPIA. Dolon did not have access to any non-public manufacturer information or company-specific data. The use of specific parameter values in the model does not constitute an endorsement of these data by EFPIA.</w:t>
      </w:r>
    </w:p>
    <w:p w14:paraId="076D3747" w14:textId="6D467958" w:rsidR="00E96EB0" w:rsidRDefault="00E96EB0">
      <w:r>
        <w:br w:type="page"/>
      </w:r>
    </w:p>
    <w:p w14:paraId="480D6874" w14:textId="10C74D93" w:rsidR="00170015" w:rsidRPr="00C943D3" w:rsidRDefault="003D3DCD" w:rsidP="00C943D3">
      <w:pPr>
        <w:pStyle w:val="Heading1noborder"/>
      </w:pPr>
      <w:r w:rsidRPr="00D71DFE">
        <w:rPr>
          <w:lang w:val="en-US"/>
        </w:rPr>
        <w:lastRenderedPageBreak/>
        <w:t>Executive</w:t>
      </w:r>
      <w:r w:rsidRPr="00C943D3">
        <w:t xml:space="preserve"> summary </w:t>
      </w:r>
    </w:p>
    <w:p w14:paraId="763A3A8B" w14:textId="615DB4AD" w:rsidR="00B64C4B" w:rsidRDefault="00A8387A" w:rsidP="001D322E">
      <w:pPr>
        <w:jc w:val="both"/>
      </w:pPr>
      <w:r>
        <w:t>The European</w:t>
      </w:r>
      <w:r w:rsidR="00B64C4B">
        <w:t xml:space="preserve"> Commission</w:t>
      </w:r>
      <w:r>
        <w:t xml:space="preserve"> </w:t>
      </w:r>
      <w:r w:rsidR="00FB717B">
        <w:t xml:space="preserve">has proposed </w:t>
      </w:r>
      <w:r w:rsidR="00CF6D21">
        <w:t xml:space="preserve">revisions to </w:t>
      </w:r>
      <w:r>
        <w:t xml:space="preserve">the Pharmaceutical </w:t>
      </w:r>
      <w:r w:rsidR="00A078D0">
        <w:t>Legislation</w:t>
      </w:r>
      <w:r>
        <w:t>, w</w:t>
      </w:r>
      <w:r w:rsidRPr="00A8387A">
        <w:t xml:space="preserve">ith </w:t>
      </w:r>
      <w:r w:rsidR="00A078D0">
        <w:t>the view</w:t>
      </w:r>
      <w:r w:rsidRPr="00A8387A">
        <w:t xml:space="preserve"> to </w:t>
      </w:r>
      <w:r w:rsidR="00570015">
        <w:t xml:space="preserve">bolster innovation in areas of unmet medical need, </w:t>
      </w:r>
      <w:r w:rsidR="000158B9">
        <w:t xml:space="preserve">enhance the sector’s global competitiveness, </w:t>
      </w:r>
      <w:r w:rsidRPr="00A8387A">
        <w:t>ensure timely</w:t>
      </w:r>
      <w:r w:rsidR="003109DA">
        <w:t xml:space="preserve">, </w:t>
      </w:r>
      <w:r w:rsidRPr="00A8387A">
        <w:t xml:space="preserve">equitable </w:t>
      </w:r>
      <w:r w:rsidR="003109DA">
        <w:t xml:space="preserve">and affordable </w:t>
      </w:r>
      <w:r w:rsidRPr="00A8387A">
        <w:t xml:space="preserve">access to medicines across the </w:t>
      </w:r>
      <w:r w:rsidR="003109DA">
        <w:t>European Union</w:t>
      </w:r>
      <w:r w:rsidR="00FA454E">
        <w:t xml:space="preserve"> (EU)</w:t>
      </w:r>
      <w:r w:rsidR="00F81370">
        <w:t xml:space="preserve"> </w:t>
      </w:r>
      <w:r w:rsidR="000D7D05">
        <w:t xml:space="preserve">and </w:t>
      </w:r>
      <w:r w:rsidR="001D322E">
        <w:t xml:space="preserve">expand environmental protection. To this end, the </w:t>
      </w:r>
      <w:r w:rsidR="00B64C4B">
        <w:t xml:space="preserve">Commission </w:t>
      </w:r>
      <w:r w:rsidR="001D322E">
        <w:t>has</w:t>
      </w:r>
      <w:r w:rsidR="00F91828">
        <w:t xml:space="preserve"> (</w:t>
      </w:r>
      <w:r w:rsidR="00B3360E">
        <w:t>non-exhaustively</w:t>
      </w:r>
      <w:r w:rsidR="00F91828">
        <w:t>)</w:t>
      </w:r>
      <w:r w:rsidR="001D322E">
        <w:t xml:space="preserve"> proposed to modulate the duration of regulatory data protection</w:t>
      </w:r>
      <w:r w:rsidR="00352A3A">
        <w:t xml:space="preserve"> </w:t>
      </w:r>
      <w:r w:rsidR="001D322E">
        <w:t>(</w:t>
      </w:r>
      <w:r w:rsidR="007D4201" w:rsidRPr="007D4201">
        <w:t>RDP</w:t>
      </w:r>
      <w:r w:rsidR="001D322E">
        <w:t xml:space="preserve">) based on conditions of need, </w:t>
      </w:r>
      <w:proofErr w:type="gramStart"/>
      <w:r w:rsidR="001D322E">
        <w:t>access</w:t>
      </w:r>
      <w:proofErr w:type="gramEnd"/>
      <w:r w:rsidR="001D322E">
        <w:t xml:space="preserve"> and </w:t>
      </w:r>
      <w:r w:rsidR="00257CBC">
        <w:t>evidence</w:t>
      </w:r>
      <w:r w:rsidR="007D4201" w:rsidRPr="007D4201">
        <w:t xml:space="preserve">, </w:t>
      </w:r>
      <w:r w:rsidR="00342069">
        <w:t xml:space="preserve">to streamline regulatory procedures, </w:t>
      </w:r>
      <w:r w:rsidR="00D46AC5">
        <w:t xml:space="preserve">to introduce a unified definition of </w:t>
      </w:r>
      <w:r w:rsidR="007D4201">
        <w:t>unmet medical need</w:t>
      </w:r>
      <w:r w:rsidR="00625CC2">
        <w:t xml:space="preserve"> </w:t>
      </w:r>
      <w:r w:rsidR="007D4201" w:rsidRPr="007D4201">
        <w:t xml:space="preserve">and </w:t>
      </w:r>
      <w:r w:rsidR="00D46AC5">
        <w:t xml:space="preserve">to </w:t>
      </w:r>
      <w:r w:rsidR="00D51CBC">
        <w:t>create references</w:t>
      </w:r>
      <w:r w:rsidR="00D51CBC" w:rsidRPr="007D4201">
        <w:t xml:space="preserve"> </w:t>
      </w:r>
      <w:r w:rsidR="007D4201" w:rsidRPr="007D4201">
        <w:t>to environmental policies</w:t>
      </w:r>
      <w:r w:rsidR="00FB4940">
        <w:t xml:space="preserve">. These proposals are informed by </w:t>
      </w:r>
      <w:r w:rsidR="004C00F8">
        <w:t xml:space="preserve">an Impact Assessment conducted by </w:t>
      </w:r>
      <w:r w:rsidR="00EE6834">
        <w:t>Technopolis.</w:t>
      </w:r>
    </w:p>
    <w:p w14:paraId="7321C49F" w14:textId="3597CA6C" w:rsidR="009B2143" w:rsidRDefault="00350E8B" w:rsidP="00995392">
      <w:pPr>
        <w:jc w:val="both"/>
      </w:pPr>
      <w:r>
        <w:t>Th</w:t>
      </w:r>
      <w:r w:rsidR="004043E1">
        <w:t>is</w:t>
      </w:r>
      <w:r w:rsidR="0051213B">
        <w:t xml:space="preserve"> </w:t>
      </w:r>
      <w:r>
        <w:t>u</w:t>
      </w:r>
      <w:r w:rsidR="00192E8D">
        <w:t>pdate</w:t>
      </w:r>
      <w:r>
        <w:t xml:space="preserve"> </w:t>
      </w:r>
      <w:r w:rsidR="00D56F42">
        <w:t>represent</w:t>
      </w:r>
      <w:r w:rsidR="0051213B">
        <w:t>s</w:t>
      </w:r>
      <w:r w:rsidR="00D56F42">
        <w:t xml:space="preserve"> a once-in-</w:t>
      </w:r>
      <w:r w:rsidR="009F05C8">
        <w:t>a-</w:t>
      </w:r>
      <w:r w:rsidR="000E7026">
        <w:t>generation</w:t>
      </w:r>
      <w:r w:rsidR="009F05C8">
        <w:t xml:space="preserve"> </w:t>
      </w:r>
      <w:r w:rsidR="000E7026">
        <w:t>opportunity</w:t>
      </w:r>
      <w:r w:rsidR="009F05C8">
        <w:t xml:space="preserve"> t</w:t>
      </w:r>
      <w:r>
        <w:t>o</w:t>
      </w:r>
      <w:r w:rsidR="00653AEE">
        <w:t xml:space="preserve"> </w:t>
      </w:r>
      <w:r w:rsidR="00A61288">
        <w:t xml:space="preserve">strengthen </w:t>
      </w:r>
      <w:r w:rsidR="006A0A70">
        <w:t xml:space="preserve">the European </w:t>
      </w:r>
      <w:r w:rsidR="00B50D05">
        <w:t xml:space="preserve">biopharmaceutical </w:t>
      </w:r>
      <w:r w:rsidR="006A0A70">
        <w:t>ecosystem</w:t>
      </w:r>
      <w:r w:rsidR="009B2697">
        <w:t>, if fit-</w:t>
      </w:r>
      <w:r w:rsidR="00203CE7">
        <w:t>for-purpose</w:t>
      </w:r>
      <w:r w:rsidR="009B2697">
        <w:t xml:space="preserve"> policy options </w:t>
      </w:r>
      <w:r w:rsidR="00203CE7">
        <w:t xml:space="preserve">are implemented in response to the ambitious goals set. That is why </w:t>
      </w:r>
      <w:r w:rsidR="000E7026">
        <w:t xml:space="preserve">the </w:t>
      </w:r>
      <w:r w:rsidR="001614E4" w:rsidRPr="00113BEB">
        <w:t>European Federation of Pharmaceutical Industries and Associations</w:t>
      </w:r>
      <w:r w:rsidR="001614E4">
        <w:t xml:space="preserve"> (EFPIA) </w:t>
      </w:r>
      <w:r w:rsidR="00203CE7">
        <w:t xml:space="preserve">commissioned the present Impact Assessment, which aims to </w:t>
      </w:r>
      <w:r w:rsidR="0040773B">
        <w:t xml:space="preserve">complement the evidence base </w:t>
      </w:r>
      <w:r w:rsidR="00EE4329">
        <w:t>supporting proposed policy</w:t>
      </w:r>
      <w:r w:rsidR="004043E1">
        <w:t xml:space="preserve"> </w:t>
      </w:r>
      <w:r w:rsidR="00EE4329">
        <w:t xml:space="preserve">revisions </w:t>
      </w:r>
      <w:r w:rsidR="00995392">
        <w:t>developed by Technopolis.</w:t>
      </w:r>
      <w:r w:rsidR="006D443E">
        <w:t xml:space="preserve"> This assessment was conducted independently, with</w:t>
      </w:r>
      <w:r w:rsidR="00AC3016">
        <w:t xml:space="preserve"> EFPIA Members’ role being </w:t>
      </w:r>
      <w:r w:rsidR="00F5029E">
        <w:t xml:space="preserve">confined </w:t>
      </w:r>
      <w:r w:rsidR="00AC3016">
        <w:t>to validating assumptions based on their expertise.</w:t>
      </w:r>
    </w:p>
    <w:p w14:paraId="2E00E0DA" w14:textId="68A4AA9E" w:rsidR="007B727F" w:rsidRDefault="00391CAE" w:rsidP="00D71DFE">
      <w:pPr>
        <w:spacing w:after="0"/>
        <w:jc w:val="both"/>
      </w:pPr>
      <w:r>
        <w:t>This</w:t>
      </w:r>
      <w:r w:rsidR="00C116DD">
        <w:t xml:space="preserve"> study</w:t>
      </w:r>
      <w:r>
        <w:t xml:space="preserve"> relies</w:t>
      </w:r>
      <w:r w:rsidR="008B2931">
        <w:t xml:space="preserve"> on </w:t>
      </w:r>
      <w:r w:rsidR="00C116DD" w:rsidRPr="00C116DD">
        <w:t>risk-adjusted net present value model</w:t>
      </w:r>
      <w:r>
        <w:t>ling</w:t>
      </w:r>
      <w:r w:rsidR="00FA454E">
        <w:t xml:space="preserve"> (rNPV)</w:t>
      </w:r>
      <w:r w:rsidR="006449FF">
        <w:t xml:space="preserve"> – </w:t>
      </w:r>
      <w:r w:rsidR="00920BF2" w:rsidRPr="00920BF2">
        <w:t>which analytically represents how biopharmaceutical companies make investment and launch decisions</w:t>
      </w:r>
      <w:r w:rsidR="007B727F">
        <w:t xml:space="preserve"> and is consistent with previous studies</w:t>
      </w:r>
      <w:r w:rsidR="006449FF">
        <w:t xml:space="preserve"> – </w:t>
      </w:r>
      <w:r w:rsidR="00C116DD" w:rsidRPr="00C116DD">
        <w:t xml:space="preserve">to assess the potential impact </w:t>
      </w:r>
      <w:r w:rsidR="00C52EF7">
        <w:t xml:space="preserve">of </w:t>
      </w:r>
      <w:r w:rsidR="00E84A8C">
        <w:t>legislative</w:t>
      </w:r>
      <w:r w:rsidR="0045342A">
        <w:t xml:space="preserve"> </w:t>
      </w:r>
      <w:r w:rsidR="00C116DD" w:rsidRPr="00C116DD">
        <w:t>changes</w:t>
      </w:r>
      <w:r w:rsidR="00BA290C">
        <w:t>.</w:t>
      </w:r>
      <w:r w:rsidR="007B727F">
        <w:t xml:space="preserve"> </w:t>
      </w:r>
    </w:p>
    <w:p w14:paraId="454AB1EB" w14:textId="6CE5CAD7" w:rsidR="007B727F" w:rsidRPr="00B469C5" w:rsidRDefault="00BD08A9" w:rsidP="00B50D05">
      <w:pPr>
        <w:pStyle w:val="Prrafodelista"/>
        <w:numPr>
          <w:ilvl w:val="0"/>
          <w:numId w:val="14"/>
        </w:numPr>
        <w:jc w:val="both"/>
      </w:pPr>
      <w:r>
        <w:rPr>
          <w:b/>
          <w:bCs/>
        </w:rPr>
        <w:t>EU i</w:t>
      </w:r>
      <w:r w:rsidR="007B727F" w:rsidRPr="00B469C5">
        <w:rPr>
          <w:b/>
          <w:bCs/>
        </w:rPr>
        <w:t xml:space="preserve">nnovation. </w:t>
      </w:r>
      <w:r w:rsidR="00B50D05">
        <w:t>K</w:t>
      </w:r>
      <w:r w:rsidR="0089426E">
        <w:t xml:space="preserve">ey </w:t>
      </w:r>
      <w:r w:rsidR="00DD0DC8" w:rsidRPr="00B469C5">
        <w:t xml:space="preserve">changes </w:t>
      </w:r>
      <w:r w:rsidR="00171E32" w:rsidRPr="00B469C5">
        <w:t>proposed</w:t>
      </w:r>
      <w:r w:rsidR="00DD0DC8" w:rsidRPr="00B469C5">
        <w:t xml:space="preserve"> by the Commission</w:t>
      </w:r>
      <w:r w:rsidR="00B469C5">
        <w:t xml:space="preserve"> (</w:t>
      </w:r>
      <w:r w:rsidR="0089426E">
        <w:t xml:space="preserve">mainly, </w:t>
      </w:r>
      <w:r w:rsidR="00B469C5">
        <w:t>RDP modulation)</w:t>
      </w:r>
      <w:r w:rsidR="008C0F0B" w:rsidRPr="00B469C5">
        <w:t xml:space="preserve"> </w:t>
      </w:r>
      <w:r w:rsidR="00B50D05">
        <w:t xml:space="preserve">are estimated to </w:t>
      </w:r>
      <w:r w:rsidR="007B727F" w:rsidRPr="00B469C5">
        <w:t>hal</w:t>
      </w:r>
      <w:r w:rsidR="00B469C5">
        <w:t>ve</w:t>
      </w:r>
      <w:r w:rsidR="007B727F" w:rsidRPr="00B469C5">
        <w:t xml:space="preserve"> the average rNPV </w:t>
      </w:r>
      <w:r w:rsidR="0089426E">
        <w:t xml:space="preserve">for products relying on RDP </w:t>
      </w:r>
      <w:r w:rsidR="007B727F" w:rsidRPr="00B469C5">
        <w:t>in Europe</w:t>
      </w:r>
      <w:r w:rsidR="0089426E">
        <w:t xml:space="preserve">. </w:t>
      </w:r>
      <w:r>
        <w:t>From</w:t>
      </w:r>
      <w:r w:rsidRPr="00B469C5">
        <w:t xml:space="preserve"> </w:t>
      </w:r>
      <w:r w:rsidR="007B727F" w:rsidRPr="00B469C5">
        <w:t>a</w:t>
      </w:r>
      <w:r w:rsidR="00DC5680">
        <w:t xml:space="preserve">n EU </w:t>
      </w:r>
      <w:r w:rsidR="007B727F" w:rsidRPr="00B469C5">
        <w:t xml:space="preserve">perspective (i.e., </w:t>
      </w:r>
      <w:r w:rsidR="00B50D05">
        <w:t>presuming</w:t>
      </w:r>
      <w:r w:rsidR="00B50D05" w:rsidRPr="00B469C5">
        <w:t xml:space="preserve"> </w:t>
      </w:r>
      <w:r w:rsidR="007B727F" w:rsidRPr="00B469C5">
        <w:t>that</w:t>
      </w:r>
      <w:r w:rsidR="00B50D05">
        <w:t xml:space="preserve"> global</w:t>
      </w:r>
      <w:r w:rsidR="007B727F" w:rsidRPr="00B469C5">
        <w:t xml:space="preserve"> investment decisions </w:t>
      </w:r>
      <w:r w:rsidR="00B50D05" w:rsidRPr="00DC5680">
        <w:t xml:space="preserve">are influenced proportionately </w:t>
      </w:r>
      <w:r w:rsidR="00CC0977" w:rsidRPr="00DC5680">
        <w:t>by</w:t>
      </w:r>
      <w:r w:rsidR="00B50D05" w:rsidRPr="00DC5680">
        <w:t xml:space="preserve"> Europe</w:t>
      </w:r>
      <w:r w:rsidR="007B727F" w:rsidRPr="00DC5680">
        <w:t>), this</w:t>
      </w:r>
      <w:r w:rsidR="007B727F" w:rsidRPr="00B469C5">
        <w:t xml:space="preserve"> would translate to the </w:t>
      </w:r>
      <w:r w:rsidR="00052DEA" w:rsidRPr="00B469C5">
        <w:t xml:space="preserve">loss of </w:t>
      </w:r>
      <w:r w:rsidR="0046597F">
        <w:t>50</w:t>
      </w:r>
      <w:r w:rsidR="00052DEA" w:rsidRPr="00B469C5">
        <w:t xml:space="preserve"> </w:t>
      </w:r>
      <w:r w:rsidR="007B727F" w:rsidRPr="00B469C5">
        <w:t>of the</w:t>
      </w:r>
      <w:r w:rsidR="00364DC3">
        <w:t xml:space="preserve"> </w:t>
      </w:r>
      <w:r w:rsidR="00B469C5">
        <w:t>225</w:t>
      </w:r>
      <w:r w:rsidR="007B727F" w:rsidRPr="00B469C5">
        <w:t xml:space="preserve"> </w:t>
      </w:r>
      <w:r w:rsidR="00052DEA" w:rsidRPr="00DC5680">
        <w:t xml:space="preserve">products </w:t>
      </w:r>
      <w:r w:rsidR="00CC0977" w:rsidRPr="00DC5680">
        <w:t xml:space="preserve">relying on RDP </w:t>
      </w:r>
      <w:r w:rsidR="00DC5680">
        <w:t xml:space="preserve">that are </w:t>
      </w:r>
      <w:r w:rsidR="007B727F" w:rsidRPr="00DC5680">
        <w:t>expected to be developed</w:t>
      </w:r>
      <w:r w:rsidR="007B727F" w:rsidRPr="00B469C5">
        <w:t xml:space="preserve"> </w:t>
      </w:r>
      <w:r w:rsidR="00E558FB" w:rsidRPr="00B469C5">
        <w:t xml:space="preserve">over 2020-2035 </w:t>
      </w:r>
      <w:r w:rsidR="00F501E6" w:rsidRPr="00B469C5">
        <w:t>(</w:t>
      </w:r>
      <w:r w:rsidR="007B727F" w:rsidRPr="00B469C5">
        <w:t>a 22% drop</w:t>
      </w:r>
      <w:r w:rsidR="00F501E6" w:rsidRPr="00B469C5">
        <w:t>)</w:t>
      </w:r>
      <w:r w:rsidR="00DD0DC8" w:rsidRPr="00B469C5">
        <w:t xml:space="preserve">. </w:t>
      </w:r>
      <w:r w:rsidR="00996A7B">
        <w:t xml:space="preserve">Conversely, EFPIA proposals </w:t>
      </w:r>
      <w:r w:rsidR="00364DC3">
        <w:t xml:space="preserve">would </w:t>
      </w:r>
      <w:r w:rsidR="00996A7B">
        <w:t>maintain incentives for innovation</w:t>
      </w:r>
      <w:r w:rsidR="00364DC3">
        <w:t xml:space="preserve"> in Europe</w:t>
      </w:r>
      <w:r w:rsidR="00996A7B">
        <w:t>.</w:t>
      </w:r>
    </w:p>
    <w:p w14:paraId="3B31DA78" w14:textId="21F377E7" w:rsidR="007B727F" w:rsidRPr="007B727F" w:rsidRDefault="007B727F" w:rsidP="00B50D05">
      <w:pPr>
        <w:pStyle w:val="Prrafodelista"/>
        <w:numPr>
          <w:ilvl w:val="0"/>
          <w:numId w:val="14"/>
        </w:numPr>
        <w:jc w:val="both"/>
      </w:pPr>
      <w:r>
        <w:rPr>
          <w:b/>
          <w:bCs/>
        </w:rPr>
        <w:t>Competitiveness.</w:t>
      </w:r>
      <w:r>
        <w:t xml:space="preserve"> </w:t>
      </w:r>
      <w:proofErr w:type="gramStart"/>
      <w:r w:rsidR="00B50D05">
        <w:t>As a consequence of</w:t>
      </w:r>
      <w:proofErr w:type="gramEnd"/>
      <w:r w:rsidR="00B50D05">
        <w:t xml:space="preserve"> these reduced incentives to develop medicines, </w:t>
      </w:r>
      <w:r>
        <w:t>Europe would play a lesser role in driving global innovation</w:t>
      </w:r>
      <w:r w:rsidR="00836D21">
        <w:t>: w</w:t>
      </w:r>
      <w:r>
        <w:t xml:space="preserve">e </w:t>
      </w:r>
      <w:r w:rsidR="00B50D05">
        <w:t xml:space="preserve">estimate </w:t>
      </w:r>
      <w:r>
        <w:t>that</w:t>
      </w:r>
      <w:r w:rsidR="00B50D05">
        <w:t xml:space="preserve"> the</w:t>
      </w:r>
      <w:r>
        <w:t xml:space="preserve"> Europe</w:t>
      </w:r>
      <w:r w:rsidR="00B50D05">
        <w:t xml:space="preserve">an share </w:t>
      </w:r>
      <w:r>
        <w:t xml:space="preserve">of </w:t>
      </w:r>
      <w:r w:rsidR="00B469C5">
        <w:t>global</w:t>
      </w:r>
      <w:r w:rsidR="00B50D05">
        <w:t xml:space="preserve"> biopharmaceutical</w:t>
      </w:r>
      <w:r w:rsidR="00B469C5">
        <w:t xml:space="preserve"> </w:t>
      </w:r>
      <w:r w:rsidR="003E63D1">
        <w:t>research and development (</w:t>
      </w:r>
      <w:r w:rsidR="00B469C5">
        <w:t>R&amp;D</w:t>
      </w:r>
      <w:r w:rsidR="003E63D1">
        <w:t>)</w:t>
      </w:r>
      <w:r w:rsidR="00B469C5">
        <w:t xml:space="preserve"> spend </w:t>
      </w:r>
      <w:r w:rsidR="00B50D05">
        <w:t>would fall to 21% in 2040</w:t>
      </w:r>
      <w:r w:rsidR="00B469C5">
        <w:t xml:space="preserve">, compared to </w:t>
      </w:r>
      <w:r w:rsidR="00C225E7">
        <w:t>32</w:t>
      </w:r>
      <w:r w:rsidR="00B469C5">
        <w:t>% currently.</w:t>
      </w:r>
      <w:r>
        <w:t xml:space="preserve"> </w:t>
      </w:r>
      <w:r w:rsidR="00B50D05" w:rsidRPr="00B50D05">
        <w:t xml:space="preserve"> </w:t>
      </w:r>
    </w:p>
    <w:p w14:paraId="101D768F" w14:textId="2BC5281E" w:rsidR="00B469C5" w:rsidRPr="00254D81" w:rsidRDefault="00B469C5" w:rsidP="00B50D05">
      <w:pPr>
        <w:pStyle w:val="Prrafodelista"/>
        <w:numPr>
          <w:ilvl w:val="0"/>
          <w:numId w:val="14"/>
        </w:numPr>
        <w:jc w:val="both"/>
      </w:pPr>
      <w:r w:rsidRPr="00254D81">
        <w:rPr>
          <w:b/>
          <w:bCs/>
        </w:rPr>
        <w:t>Small and medium enterprises (SMEs).</w:t>
      </w:r>
      <w:r w:rsidRPr="00254D81">
        <w:t xml:space="preserve"> It appears that SMEs, which already face a more challenging investment proposition than large enterprises, would be disproportionately impacted by legislative revisions</w:t>
      </w:r>
      <w:r w:rsidR="00254D81" w:rsidRPr="00D71DFE">
        <w:t>. Under Commission proposals, only about a tenth of products relying on RDP would be economically viable in Europe.</w:t>
      </w:r>
    </w:p>
    <w:p w14:paraId="2BF5A274" w14:textId="738BB892" w:rsidR="00B50D05" w:rsidRPr="00D71DFE" w:rsidRDefault="00B469C5" w:rsidP="00B50D05">
      <w:pPr>
        <w:pStyle w:val="Prrafodelista"/>
        <w:numPr>
          <w:ilvl w:val="0"/>
          <w:numId w:val="14"/>
        </w:numPr>
        <w:jc w:val="both"/>
        <w:rPr>
          <w:b/>
          <w:bCs/>
        </w:rPr>
      </w:pPr>
      <w:r w:rsidRPr="00B469C5">
        <w:rPr>
          <w:b/>
          <w:bCs/>
        </w:rPr>
        <w:t xml:space="preserve">Environmental </w:t>
      </w:r>
      <w:r w:rsidR="007757F8">
        <w:rPr>
          <w:b/>
          <w:bCs/>
        </w:rPr>
        <w:t>provisions</w:t>
      </w:r>
      <w:r w:rsidRPr="00B469C5">
        <w:rPr>
          <w:b/>
          <w:bCs/>
        </w:rPr>
        <w:t xml:space="preserve">. </w:t>
      </w:r>
      <w:r w:rsidR="0025604D">
        <w:t>Proposed lin</w:t>
      </w:r>
      <w:r w:rsidR="007757F8">
        <w:t>ks with environmental regulations (many of which are under revision) wo</w:t>
      </w:r>
      <w:r w:rsidR="0025604D">
        <w:t>uld compound the detrimental effect of RDP modulation on innovation</w:t>
      </w:r>
      <w:r w:rsidR="00B50D05">
        <w:t xml:space="preserve"> by worsening the investment proposition for new medicines</w:t>
      </w:r>
      <w:r w:rsidR="0025604D">
        <w:t xml:space="preserve">. </w:t>
      </w:r>
      <w:r w:rsidR="00B50D05">
        <w:t>While it is difficult to predict exactly the economic impact of environmental proposals</w:t>
      </w:r>
      <w:r w:rsidR="007757F8">
        <w:t xml:space="preserve"> at this stage</w:t>
      </w:r>
      <w:r w:rsidR="00B50D05">
        <w:t>, a scenario in which R&amp;D</w:t>
      </w:r>
      <w:r w:rsidR="007757F8">
        <w:t xml:space="preserve"> </w:t>
      </w:r>
      <w:r w:rsidR="00B50D05">
        <w:t xml:space="preserve">and manufacturing costs are increased (+5%, +20% respectively), would lead to a loss of 124 of </w:t>
      </w:r>
      <w:r w:rsidR="00706E1D">
        <w:t xml:space="preserve">the </w:t>
      </w:r>
      <w:r w:rsidR="00B50D05">
        <w:t xml:space="preserve">225 expected new medicines </w:t>
      </w:r>
      <w:r w:rsidR="007757F8">
        <w:t xml:space="preserve">relying on RDP </w:t>
      </w:r>
      <w:r w:rsidR="00B50D05">
        <w:t>within the next 15 years.</w:t>
      </w:r>
    </w:p>
    <w:p w14:paraId="2E04CF0F" w14:textId="5C38468F" w:rsidR="00342069" w:rsidRDefault="00B469C5" w:rsidP="00B50D05">
      <w:pPr>
        <w:pStyle w:val="Prrafodelista"/>
        <w:numPr>
          <w:ilvl w:val="0"/>
          <w:numId w:val="14"/>
        </w:numPr>
        <w:jc w:val="both"/>
      </w:pPr>
      <w:r w:rsidRPr="006449FF">
        <w:rPr>
          <w:b/>
          <w:bCs/>
        </w:rPr>
        <w:t>Access.</w:t>
      </w:r>
      <w:r w:rsidR="006449FF" w:rsidRPr="006449FF">
        <w:rPr>
          <w:b/>
          <w:bCs/>
        </w:rPr>
        <w:t xml:space="preserve"> </w:t>
      </w:r>
      <w:r w:rsidR="006449FF" w:rsidRPr="006449FF">
        <w:t>W</w:t>
      </w:r>
      <w:r w:rsidR="003D76E0" w:rsidRPr="006449FF">
        <w:t>e estimate</w:t>
      </w:r>
      <w:r w:rsidR="00DD0DC8" w:rsidRPr="006449FF">
        <w:t xml:space="preserve"> that </w:t>
      </w:r>
      <w:r w:rsidR="003D76E0" w:rsidRPr="006449FF">
        <w:t xml:space="preserve">launch </w:t>
      </w:r>
      <w:r w:rsidR="00AE6AC1">
        <w:t xml:space="preserve">is already </w:t>
      </w:r>
      <w:r w:rsidR="003D76E0" w:rsidRPr="006449FF">
        <w:t xml:space="preserve">financially </w:t>
      </w:r>
      <w:r w:rsidR="001B53B3" w:rsidRPr="006449FF">
        <w:t>unsustainable</w:t>
      </w:r>
      <w:r w:rsidR="00B50D05">
        <w:t xml:space="preserve"> (negative return on investment)</w:t>
      </w:r>
      <w:r w:rsidR="006449FF">
        <w:t xml:space="preserve"> in countries covering</w:t>
      </w:r>
      <w:r w:rsidR="00DD0DC8" w:rsidRPr="006449FF">
        <w:t xml:space="preserve"> </w:t>
      </w:r>
      <w:r w:rsidR="00AE6AC1">
        <w:t>6</w:t>
      </w:r>
      <w:r w:rsidR="00DD0DC8" w:rsidRPr="006449FF">
        <w:t xml:space="preserve">% </w:t>
      </w:r>
      <w:r w:rsidR="006449FF">
        <w:t xml:space="preserve">and </w:t>
      </w:r>
      <w:r w:rsidR="00ED5B7C">
        <w:t>8</w:t>
      </w:r>
      <w:r w:rsidR="006449FF">
        <w:t xml:space="preserve">% </w:t>
      </w:r>
      <w:r w:rsidR="00DD0DC8" w:rsidRPr="006449FF">
        <w:t xml:space="preserve">of </w:t>
      </w:r>
      <w:r w:rsidR="006449FF">
        <w:t>the EU population</w:t>
      </w:r>
      <w:r w:rsidR="001B53B3" w:rsidRPr="006449FF">
        <w:t xml:space="preserve"> for large companies</w:t>
      </w:r>
      <w:r w:rsidR="006449FF">
        <w:t xml:space="preserve"> in prevalent and rare diseases (respectively), or </w:t>
      </w:r>
      <w:r w:rsidR="00AE6AC1">
        <w:t>21</w:t>
      </w:r>
      <w:r w:rsidR="001B53B3" w:rsidRPr="006449FF">
        <w:t xml:space="preserve">% </w:t>
      </w:r>
      <w:r w:rsidR="006449FF">
        <w:t xml:space="preserve">and </w:t>
      </w:r>
      <w:r w:rsidR="00AE6AC1">
        <w:t>38</w:t>
      </w:r>
      <w:r w:rsidR="006449FF">
        <w:t xml:space="preserve">% </w:t>
      </w:r>
      <w:r w:rsidR="001B53B3" w:rsidRPr="006449FF">
        <w:t xml:space="preserve">for </w:t>
      </w:r>
      <w:r w:rsidR="00E234D4" w:rsidRPr="006449FF">
        <w:t>SMEs</w:t>
      </w:r>
      <w:r w:rsidR="00DD0DC8" w:rsidRPr="006449FF">
        <w:t>.</w:t>
      </w:r>
      <w:r w:rsidR="00F735C5">
        <w:t xml:space="preserve"> Decreasing RDP duration further hampers the economic case for launch, casting doubt over the </w:t>
      </w:r>
      <w:r w:rsidR="00F40D7A">
        <w:t xml:space="preserve">soundness of the </w:t>
      </w:r>
      <w:r w:rsidR="00F735C5">
        <w:t xml:space="preserve">logic of </w:t>
      </w:r>
      <w:r w:rsidR="003F2478">
        <w:t>diminishing RDP duration</w:t>
      </w:r>
      <w:r w:rsidR="00F735C5">
        <w:t xml:space="preserve"> </w:t>
      </w:r>
      <w:r w:rsidR="00F40D7A">
        <w:t xml:space="preserve">with the view </w:t>
      </w:r>
      <w:r w:rsidR="00F735C5">
        <w:t xml:space="preserve">to </w:t>
      </w:r>
      <w:r w:rsidR="053470F5">
        <w:t>enhance</w:t>
      </w:r>
      <w:r w:rsidR="00F735C5">
        <w:t xml:space="preserve"> </w:t>
      </w:r>
      <w:r w:rsidR="00B61A86">
        <w:t xml:space="preserve">breadth of </w:t>
      </w:r>
      <w:r w:rsidR="00F40D7A">
        <w:t>access.</w:t>
      </w:r>
    </w:p>
    <w:p w14:paraId="52EA6538" w14:textId="7C235DE1" w:rsidR="009D54FA" w:rsidRDefault="003D3DCD" w:rsidP="00D71DFE">
      <w:pPr>
        <w:pStyle w:val="Heading1noborder"/>
      </w:pPr>
      <w:r w:rsidRPr="004C5A19">
        <w:lastRenderedPageBreak/>
        <w:t>Introduction</w:t>
      </w:r>
    </w:p>
    <w:p w14:paraId="276B23D7" w14:textId="6821F939" w:rsidR="009D54FA" w:rsidRDefault="00F71962" w:rsidP="007C1815">
      <w:pPr>
        <w:pStyle w:val="Ttulo2"/>
      </w:pPr>
      <w:r>
        <w:t>Policy context</w:t>
      </w:r>
      <w:r w:rsidR="0055741C">
        <w:t xml:space="preserve"> </w:t>
      </w:r>
    </w:p>
    <w:p w14:paraId="583011DD" w14:textId="4ECD972B" w:rsidR="006D299A" w:rsidRPr="004C5A19" w:rsidRDefault="00305E61" w:rsidP="00951F57">
      <w:pPr>
        <w:jc w:val="both"/>
      </w:pPr>
      <w:r>
        <w:t>In its Pharmaceutical Strategy for Europe adopted in 2020, the European Commission outlined four key pillars for EU</w:t>
      </w:r>
      <w:r w:rsidR="00906137">
        <w:t xml:space="preserve"> sectorial</w:t>
      </w:r>
      <w:r>
        <w:t xml:space="preserve"> action: ensuring access to affordable medicines while addressing unmet medical needs; supporting competitiveness, innovation and sustainability; enhancing crisis preparedness and preventing medicine shortages; and ensuring a strong EU voice in the world</w:t>
      </w:r>
      <w:r>
        <w:rPr>
          <w:rStyle w:val="Refdenotaalpie"/>
        </w:rPr>
        <w:footnoteReference w:id="2"/>
      </w:r>
      <w:r>
        <w:t xml:space="preserve">.The flagship initiative within the Strategy is the </w:t>
      </w:r>
      <w:r w:rsidR="00D33342">
        <w:t>revision and consolidation</w:t>
      </w:r>
      <w:r w:rsidR="00995BA5">
        <w:t xml:space="preserve"> </w:t>
      </w:r>
      <w:r>
        <w:t>of</w:t>
      </w:r>
      <w:r w:rsidR="006D299A" w:rsidRPr="004C5A19">
        <w:t xml:space="preserve"> the </w:t>
      </w:r>
      <w:r>
        <w:t>current</w:t>
      </w:r>
      <w:r w:rsidR="006D299A" w:rsidRPr="004C5A19">
        <w:t xml:space="preserve"> Pharmaceutical Package</w:t>
      </w:r>
      <w:r>
        <w:t xml:space="preserve">, which comprises </w:t>
      </w:r>
      <w:r w:rsidR="008D2BA6">
        <w:t>the</w:t>
      </w:r>
      <w:r w:rsidR="000B67A5">
        <w:t xml:space="preserve"> </w:t>
      </w:r>
      <w:r w:rsidR="008D2BA6">
        <w:t xml:space="preserve">General </w:t>
      </w:r>
      <w:r w:rsidR="00485A95">
        <w:t>Pharmaceutical</w:t>
      </w:r>
      <w:r w:rsidR="00724146">
        <w:t xml:space="preserve"> Legislation</w:t>
      </w:r>
      <w:r w:rsidR="006D299A" w:rsidRPr="004C5A19">
        <w:t>,</w:t>
      </w:r>
      <w:r w:rsidR="00724146">
        <w:t xml:space="preserve"> Orphan Regulation and Paediatric Regulation</w:t>
      </w:r>
      <w:r>
        <w:t>. Accordingly,</w:t>
      </w:r>
      <w:r w:rsidR="000B67A5">
        <w:t xml:space="preserve"> </w:t>
      </w:r>
      <w:r>
        <w:t>t</w:t>
      </w:r>
      <w:r w:rsidRPr="004C5A19">
        <w:t xml:space="preserve">he Commission </w:t>
      </w:r>
      <w:r>
        <w:t>adopted</w:t>
      </w:r>
      <w:r w:rsidRPr="004C5A19">
        <w:t xml:space="preserve"> </w:t>
      </w:r>
      <w:r>
        <w:t>in</w:t>
      </w:r>
      <w:r w:rsidRPr="004C5A19">
        <w:t xml:space="preserve"> April</w:t>
      </w:r>
      <w:r>
        <w:t xml:space="preserve"> 2023</w:t>
      </w:r>
      <w:r w:rsidRPr="004C5A19">
        <w:t xml:space="preserve"> </w:t>
      </w:r>
      <w:r>
        <w:t>a proposal for a new</w:t>
      </w:r>
      <w:r w:rsidRPr="004C5A19">
        <w:t xml:space="preserve"> Regulation and</w:t>
      </w:r>
      <w:r>
        <w:t xml:space="preserve"> a new</w:t>
      </w:r>
      <w:r w:rsidRPr="004C5A19">
        <w:t xml:space="preserve"> Directive</w:t>
      </w:r>
      <w:r w:rsidR="003F2478">
        <w:rPr>
          <w:rStyle w:val="Refdenotaalpie"/>
        </w:rPr>
        <w:footnoteReference w:id="3"/>
      </w:r>
      <w:r w:rsidR="00995BA5">
        <w:t>.</w:t>
      </w:r>
      <w:r w:rsidR="006D299A" w:rsidRPr="004C5A19">
        <w:t xml:space="preserve"> </w:t>
      </w:r>
    </w:p>
    <w:p w14:paraId="679EF529" w14:textId="76F5E585" w:rsidR="006D299A" w:rsidRDefault="006D299A" w:rsidP="00032D45">
      <w:pPr>
        <w:jc w:val="both"/>
      </w:pPr>
      <w:r w:rsidRPr="004C5A19">
        <w:t>The draft legislative text</w:t>
      </w:r>
      <w:r w:rsidR="009B29C0">
        <w:t>s</w:t>
      </w:r>
      <w:r w:rsidRPr="004C5A19">
        <w:t xml:space="preserve"> include</w:t>
      </w:r>
      <w:r w:rsidR="00995BA5">
        <w:t xml:space="preserve"> some </w:t>
      </w:r>
      <w:r w:rsidRPr="004C5A19">
        <w:t>changes</w:t>
      </w:r>
      <w:r w:rsidR="00995BA5">
        <w:t xml:space="preserve"> </w:t>
      </w:r>
      <w:r w:rsidR="00FD00C6">
        <w:t xml:space="preserve">which </w:t>
      </w:r>
      <w:r w:rsidR="002455BC">
        <w:t>may have</w:t>
      </w:r>
      <w:r w:rsidRPr="004C5A19">
        <w:t xml:space="preserve"> profound implications</w:t>
      </w:r>
      <w:r w:rsidR="008E489D">
        <w:t>.</w:t>
      </w:r>
    </w:p>
    <w:p w14:paraId="7174165A" w14:textId="0F67F706" w:rsidR="00D47408" w:rsidRPr="00D47408" w:rsidRDefault="00D47408" w:rsidP="00B50D05">
      <w:pPr>
        <w:pStyle w:val="Prrafodelista"/>
        <w:numPr>
          <w:ilvl w:val="0"/>
          <w:numId w:val="7"/>
        </w:numPr>
        <w:jc w:val="both"/>
      </w:pPr>
      <w:r>
        <w:rPr>
          <w:b/>
          <w:bCs/>
        </w:rPr>
        <w:t xml:space="preserve">Regulatory approval. </w:t>
      </w:r>
      <w:r w:rsidR="005A0270">
        <w:t xml:space="preserve">The Commission wishes to shorten </w:t>
      </w:r>
      <w:r w:rsidR="00160601">
        <w:t xml:space="preserve">standard </w:t>
      </w:r>
      <w:r w:rsidR="005A0270">
        <w:t>t</w:t>
      </w:r>
      <w:r>
        <w:t xml:space="preserve">imelines </w:t>
      </w:r>
      <w:r w:rsidR="005A0270">
        <w:t xml:space="preserve">to </w:t>
      </w:r>
      <w:r w:rsidR="00741B9C">
        <w:t xml:space="preserve">EU </w:t>
      </w:r>
      <w:r w:rsidR="005A0270">
        <w:t xml:space="preserve">approval </w:t>
      </w:r>
      <w:r>
        <w:t xml:space="preserve">and </w:t>
      </w:r>
      <w:r w:rsidR="003D2A73">
        <w:t xml:space="preserve">bolster </w:t>
      </w:r>
      <w:r>
        <w:t>the Priority Medicines (PRIME) programme.</w:t>
      </w:r>
    </w:p>
    <w:p w14:paraId="390FDE2F" w14:textId="7339343F" w:rsidR="005219BB" w:rsidRDefault="00B325C0" w:rsidP="00B50D05">
      <w:pPr>
        <w:pStyle w:val="Prrafodelista"/>
        <w:numPr>
          <w:ilvl w:val="0"/>
          <w:numId w:val="7"/>
        </w:numPr>
        <w:jc w:val="both"/>
      </w:pPr>
      <w:r>
        <w:rPr>
          <w:b/>
          <w:bCs/>
        </w:rPr>
        <w:t>Incentives</w:t>
      </w:r>
      <w:r w:rsidR="0093158B" w:rsidRPr="0093158B">
        <w:rPr>
          <w:b/>
          <w:bCs/>
        </w:rPr>
        <w:t>.</w:t>
      </w:r>
      <w:r w:rsidR="0093158B">
        <w:t xml:space="preserve"> </w:t>
      </w:r>
      <w:r w:rsidR="00A90BE1">
        <w:t>T</w:t>
      </w:r>
      <w:r w:rsidR="00A90BE1" w:rsidRPr="00A90BE1">
        <w:t>he Commission propose</w:t>
      </w:r>
      <w:r w:rsidR="003C5A7D">
        <w:t>s</w:t>
      </w:r>
      <w:r w:rsidR="00A90BE1" w:rsidRPr="00A90BE1">
        <w:t xml:space="preserve"> to reduce </w:t>
      </w:r>
      <w:r w:rsidR="0064447A">
        <w:t xml:space="preserve">baseline </w:t>
      </w:r>
      <w:r w:rsidR="00A90BE1" w:rsidRPr="00A90BE1">
        <w:t xml:space="preserve">RDP duration for new medicines from </w:t>
      </w:r>
      <w:r w:rsidR="00F82C9C">
        <w:t>eight</w:t>
      </w:r>
      <w:r w:rsidR="00A90BE1" w:rsidRPr="00A90BE1">
        <w:t xml:space="preserve"> to </w:t>
      </w:r>
      <w:r w:rsidR="00F82C9C">
        <w:t>six</w:t>
      </w:r>
      <w:r w:rsidR="00A90BE1" w:rsidRPr="00A90BE1">
        <w:t xml:space="preserve"> years, with various possibilities for </w:t>
      </w:r>
      <w:r w:rsidR="00981299">
        <w:t>recoupment</w:t>
      </w:r>
      <w:r w:rsidR="003502E9">
        <w:t>:</w:t>
      </w:r>
      <w:r w:rsidR="00E6CB52">
        <w:t xml:space="preserve"> </w:t>
      </w:r>
      <w:r w:rsidR="00A90BE1" w:rsidRPr="00A90BE1">
        <w:t xml:space="preserve">EU market </w:t>
      </w:r>
      <w:r w:rsidR="003502E9">
        <w:t xml:space="preserve">launch and </w:t>
      </w:r>
      <w:r w:rsidR="002455BC">
        <w:t>supply</w:t>
      </w:r>
      <w:r w:rsidR="00E6CB52">
        <w:t xml:space="preserve"> </w:t>
      </w:r>
      <w:r w:rsidR="00A90BE1" w:rsidRPr="00A90BE1">
        <w:t>(</w:t>
      </w:r>
      <w:r w:rsidR="00F82C9C">
        <w:t>+</w:t>
      </w:r>
      <w:r w:rsidR="00A90BE1" w:rsidRPr="00A90BE1">
        <w:t>2 years); address</w:t>
      </w:r>
      <w:r w:rsidR="002B3303">
        <w:t>ing</w:t>
      </w:r>
      <w:r w:rsidR="00A90BE1" w:rsidRPr="00A90BE1">
        <w:t xml:space="preserve"> </w:t>
      </w:r>
      <w:r w:rsidR="00275133">
        <w:t>unmet medical need</w:t>
      </w:r>
      <w:r w:rsidR="00A90BE1" w:rsidRPr="00A90BE1">
        <w:t xml:space="preserve"> (</w:t>
      </w:r>
      <w:r w:rsidR="00275133">
        <w:t>+</w:t>
      </w:r>
      <w:r w:rsidR="00A90BE1" w:rsidRPr="00A90BE1">
        <w:t>6 months); comparative clinical trials (</w:t>
      </w:r>
      <w:r w:rsidR="00275133">
        <w:t>+</w:t>
      </w:r>
      <w:r w:rsidR="00A90BE1" w:rsidRPr="00A90BE1">
        <w:t>6 months); new therapeutic indication (</w:t>
      </w:r>
      <w:r w:rsidR="00275133">
        <w:t>+</w:t>
      </w:r>
      <w:r w:rsidR="00A90BE1" w:rsidRPr="00A90BE1">
        <w:t>1 year</w:t>
      </w:r>
      <w:r w:rsidR="00275133">
        <w:t>; as current</w:t>
      </w:r>
      <w:r w:rsidR="003502E9" w:rsidRPr="00A90BE1">
        <w:t>)</w:t>
      </w:r>
      <w:r w:rsidR="003502E9">
        <w:t xml:space="preserve"> – with a cap of 12 years.</w:t>
      </w:r>
    </w:p>
    <w:p w14:paraId="479722A7" w14:textId="3EACF769" w:rsidR="00AF415F" w:rsidRDefault="007F7DE9" w:rsidP="00B50D05">
      <w:pPr>
        <w:pStyle w:val="Prrafodelista"/>
        <w:numPr>
          <w:ilvl w:val="0"/>
          <w:numId w:val="7"/>
        </w:numPr>
        <w:jc w:val="both"/>
      </w:pPr>
      <w:r w:rsidRPr="005219BB">
        <w:rPr>
          <w:b/>
          <w:bCs/>
        </w:rPr>
        <w:t>Unmet medical need.</w:t>
      </w:r>
      <w:r>
        <w:t xml:space="preserve"> </w:t>
      </w:r>
      <w:r w:rsidR="009053AA">
        <w:t xml:space="preserve">The Commission </w:t>
      </w:r>
      <w:r w:rsidR="003C5A7D">
        <w:t>introduces</w:t>
      </w:r>
      <w:r w:rsidR="009053AA">
        <w:t xml:space="preserve"> a</w:t>
      </w:r>
      <w:r w:rsidR="00CA7D60">
        <w:t xml:space="preserve"> unified</w:t>
      </w:r>
      <w:r w:rsidR="009053AA">
        <w:t xml:space="preserve"> definition for </w:t>
      </w:r>
      <w:r w:rsidR="00214FAB">
        <w:t xml:space="preserve">unmet medical need, which would </w:t>
      </w:r>
      <w:r w:rsidR="1DAC4857">
        <w:t xml:space="preserve">be a </w:t>
      </w:r>
      <w:r w:rsidR="00214FAB">
        <w:t xml:space="preserve">condition </w:t>
      </w:r>
      <w:r w:rsidR="4EB576A4">
        <w:t>for</w:t>
      </w:r>
      <w:r w:rsidR="00214FAB">
        <w:t xml:space="preserve"> </w:t>
      </w:r>
      <w:r w:rsidR="0061234E">
        <w:t xml:space="preserve">RDP extension and determine eligibility to </w:t>
      </w:r>
      <w:r w:rsidR="005E4C96">
        <w:t>specific regulatory pathways (such as PRIME</w:t>
      </w:r>
      <w:r w:rsidR="003F2478">
        <w:t xml:space="preserve"> and </w:t>
      </w:r>
      <w:r w:rsidR="005E4C96">
        <w:t>conditional marketing authorisation</w:t>
      </w:r>
      <w:r w:rsidR="00542C62">
        <w:t>)</w:t>
      </w:r>
      <w:r w:rsidR="009053AA">
        <w:t xml:space="preserve">. </w:t>
      </w:r>
      <w:r w:rsidR="000674C6">
        <w:t>T</w:t>
      </w:r>
      <w:r w:rsidR="0070384F">
        <w:t>he definition encompasses three criteria that must be fulfilled for an unmet medical need to be recognised: 1) l</w:t>
      </w:r>
      <w:r w:rsidR="009053AA">
        <w:t xml:space="preserve">ife threatening or seriously debilitating </w:t>
      </w:r>
      <w:r w:rsidR="0070384F">
        <w:t>condition; 2) l</w:t>
      </w:r>
      <w:r w:rsidR="009053AA">
        <w:t>ack of available treatment or remaining high mortality or morbidity</w:t>
      </w:r>
      <w:r w:rsidR="005219BB">
        <w:t>; and 3) d</w:t>
      </w:r>
      <w:r w:rsidR="009053AA">
        <w:t>ecrease in mortality or morbidity</w:t>
      </w:r>
      <w:r w:rsidR="005219BB">
        <w:t xml:space="preserve"> brought by the new therap</w:t>
      </w:r>
      <w:r w:rsidR="005B2AC1">
        <w:t>y</w:t>
      </w:r>
      <w:r w:rsidR="005219BB">
        <w:t>.</w:t>
      </w:r>
    </w:p>
    <w:p w14:paraId="6689582B" w14:textId="616061CC" w:rsidR="00B325C0" w:rsidRPr="00AF415F" w:rsidRDefault="00B325C0" w:rsidP="00B50D05">
      <w:pPr>
        <w:pStyle w:val="Prrafodelista"/>
        <w:numPr>
          <w:ilvl w:val="0"/>
          <w:numId w:val="7"/>
        </w:numPr>
        <w:jc w:val="both"/>
      </w:pPr>
      <w:r>
        <w:rPr>
          <w:b/>
          <w:bCs/>
        </w:rPr>
        <w:t xml:space="preserve">Access conditionality. </w:t>
      </w:r>
      <w:r>
        <w:t xml:space="preserve">The Commission intends to encourage access by making a two-year extension of RDP conditional on the </w:t>
      </w:r>
      <w:r w:rsidR="002455BC">
        <w:t xml:space="preserve">release and continuous </w:t>
      </w:r>
      <w:r w:rsidR="007179ED">
        <w:t>supply</w:t>
      </w:r>
      <w:r>
        <w:t xml:space="preserve"> of medicines in all 27 Member States within two years of marketing authorisation (or three years for SMEs).</w:t>
      </w:r>
    </w:p>
    <w:p w14:paraId="40D4DAB1" w14:textId="72DA0EB1" w:rsidR="00383434" w:rsidRPr="00A12115" w:rsidRDefault="008E489D" w:rsidP="00B50D05">
      <w:pPr>
        <w:pStyle w:val="Prrafodelista"/>
        <w:numPr>
          <w:ilvl w:val="0"/>
          <w:numId w:val="7"/>
        </w:numPr>
        <w:jc w:val="both"/>
      </w:pPr>
      <w:r w:rsidRPr="008E489D">
        <w:rPr>
          <w:b/>
          <w:bCs/>
        </w:rPr>
        <w:t xml:space="preserve">Links to environment, chemicals, and water policy. </w:t>
      </w:r>
      <w:r w:rsidR="00034F7C">
        <w:t>T</w:t>
      </w:r>
      <w:r w:rsidR="00034F7C" w:rsidRPr="00034F7C">
        <w:t xml:space="preserve">he Commission </w:t>
      </w:r>
      <w:r w:rsidR="00FD4B20">
        <w:t xml:space="preserve">suggests </w:t>
      </w:r>
      <w:r w:rsidR="00904287">
        <w:t xml:space="preserve">better </w:t>
      </w:r>
      <w:r w:rsidR="00FD4B20">
        <w:t xml:space="preserve">linking </w:t>
      </w:r>
      <w:r w:rsidR="00085CF1">
        <w:t xml:space="preserve">pharmaceuticals </w:t>
      </w:r>
      <w:r w:rsidR="00FD4B20">
        <w:t>to existing and forthcoming</w:t>
      </w:r>
      <w:r w:rsidR="00034F7C" w:rsidRPr="00034F7C">
        <w:t xml:space="preserve"> environmental legislations</w:t>
      </w:r>
      <w:r w:rsidR="005B6713">
        <w:t>, with the view</w:t>
      </w:r>
      <w:r w:rsidR="00034F7C" w:rsidRPr="00034F7C">
        <w:t xml:space="preserve"> </w:t>
      </w:r>
      <w:r w:rsidR="0073666D">
        <w:t xml:space="preserve">to </w:t>
      </w:r>
      <w:r w:rsidR="001A0489">
        <w:t xml:space="preserve">more extensively </w:t>
      </w:r>
      <w:r w:rsidR="00995BA5">
        <w:t>manage</w:t>
      </w:r>
      <w:r w:rsidR="0073666D" w:rsidRPr="0071701F">
        <w:t xml:space="preserve"> </w:t>
      </w:r>
      <w:r w:rsidR="001A0489">
        <w:t xml:space="preserve">the </w:t>
      </w:r>
      <w:r w:rsidR="0073666D" w:rsidRPr="0071701F">
        <w:t xml:space="preserve">environmental risk associated with </w:t>
      </w:r>
      <w:r w:rsidR="00085CF1">
        <w:t>their production</w:t>
      </w:r>
      <w:r w:rsidR="0073666D">
        <w:t>.</w:t>
      </w:r>
      <w:r w:rsidR="005B6713">
        <w:t xml:space="preserve"> </w:t>
      </w:r>
      <w:r w:rsidR="007D54B4">
        <w:t xml:space="preserve">Proposals include the possibility of refusal of marketing authorisation on environmental grounds, </w:t>
      </w:r>
      <w:r w:rsidR="009C49CB">
        <w:t xml:space="preserve">introduction of environmental risk assessments (ERA) for antimicrobials and legacy </w:t>
      </w:r>
      <w:r w:rsidR="006A6851">
        <w:t>active pharmaceutical ingredients (API)</w:t>
      </w:r>
      <w:r w:rsidR="009C49CB">
        <w:t>,</w:t>
      </w:r>
      <w:r w:rsidR="0099687F">
        <w:t xml:space="preserve"> </w:t>
      </w:r>
      <w:r w:rsidR="0057021A">
        <w:t>substance restrictions</w:t>
      </w:r>
      <w:r w:rsidR="001A0489">
        <w:t xml:space="preserve"> (e.g., PFAS)</w:t>
      </w:r>
      <w:r w:rsidR="00CB4809">
        <w:t xml:space="preserve">, </w:t>
      </w:r>
      <w:r w:rsidR="0099687F">
        <w:t xml:space="preserve">and </w:t>
      </w:r>
      <w:r w:rsidR="00FE458A">
        <w:t xml:space="preserve">measures related to </w:t>
      </w:r>
      <w:r w:rsidR="00F07E5E">
        <w:t xml:space="preserve">packaging </w:t>
      </w:r>
      <w:r w:rsidR="00FE458A">
        <w:t>waste and wastewater</w:t>
      </w:r>
      <w:r w:rsidR="00F07E5E">
        <w:t>.</w:t>
      </w:r>
      <w:r w:rsidR="007F7D98">
        <w:t xml:space="preserve"> The appendix provides a more detailed overview of the proposed environmental measures.</w:t>
      </w:r>
    </w:p>
    <w:p w14:paraId="1D2140B6" w14:textId="060A934D" w:rsidR="00C47191" w:rsidRPr="006D299A" w:rsidRDefault="00542C7C" w:rsidP="006A32CE">
      <w:pPr>
        <w:jc w:val="both"/>
      </w:pPr>
      <w:r>
        <w:t xml:space="preserve">In response to the Commission’s </w:t>
      </w:r>
      <w:r w:rsidR="0068660A">
        <w:t>Pharmaceutical Strategy</w:t>
      </w:r>
      <w:r>
        <w:t xml:space="preserve">, </w:t>
      </w:r>
      <w:r w:rsidR="00C47191" w:rsidRPr="00A8387A">
        <w:t xml:space="preserve">EFPIA </w:t>
      </w:r>
      <w:r w:rsidR="00D560F7">
        <w:t>has outlined a set of alternative policy pro</w:t>
      </w:r>
      <w:r w:rsidR="00D6159D">
        <w:t xml:space="preserve">posals </w:t>
      </w:r>
      <w:r w:rsidR="00347ABC">
        <w:t>to meet the same goals</w:t>
      </w:r>
      <w:r w:rsidR="009D0E41">
        <w:t xml:space="preserve">. </w:t>
      </w:r>
      <w:r w:rsidR="00BB4161">
        <w:t xml:space="preserve">These proposals include </w:t>
      </w:r>
      <w:r w:rsidR="00085CF1">
        <w:t>streamlining regulatory procedures</w:t>
      </w:r>
      <w:r w:rsidR="006B3248">
        <w:t xml:space="preserve">, </w:t>
      </w:r>
      <w:r w:rsidR="00BB4161">
        <w:t xml:space="preserve">strengthening </w:t>
      </w:r>
      <w:r w:rsidR="00090CE6">
        <w:t>RDP provisions,</w:t>
      </w:r>
      <w:r w:rsidR="00C57F79">
        <w:t xml:space="preserve"> </w:t>
      </w:r>
      <w:r w:rsidR="00B45B4A">
        <w:t>adopting a</w:t>
      </w:r>
      <w:r w:rsidR="00B822FE">
        <w:t xml:space="preserve"> patient</w:t>
      </w:r>
      <w:r w:rsidR="006B3248">
        <w:t>-</w:t>
      </w:r>
      <w:r w:rsidR="00B822FE">
        <w:t xml:space="preserve">centric </w:t>
      </w:r>
      <w:r w:rsidR="00B45B4A">
        <w:t>approach to</w:t>
      </w:r>
      <w:r w:rsidR="00B822FE">
        <w:t xml:space="preserve"> </w:t>
      </w:r>
      <w:r w:rsidR="000B4A3E">
        <w:lastRenderedPageBreak/>
        <w:t xml:space="preserve">unmet medical need, </w:t>
      </w:r>
      <w:r w:rsidR="00C813A8">
        <w:t xml:space="preserve">implementing </w:t>
      </w:r>
      <w:r w:rsidR="00AF415F">
        <w:t xml:space="preserve">a suite of </w:t>
      </w:r>
      <w:r w:rsidR="006B3248">
        <w:t>solutions</w:t>
      </w:r>
      <w:r w:rsidR="00AF415F">
        <w:t xml:space="preserve"> aimed at tackling the root causes of impaired patient access</w:t>
      </w:r>
      <w:r w:rsidR="006B3248">
        <w:t xml:space="preserve">, </w:t>
      </w:r>
      <w:r w:rsidR="000B4A3E">
        <w:t xml:space="preserve">and </w:t>
      </w:r>
      <w:r w:rsidR="00B45B4A">
        <w:t>ensuring</w:t>
      </w:r>
      <w:r w:rsidR="009C34EE">
        <w:t xml:space="preserve"> the </w:t>
      </w:r>
      <w:r w:rsidR="007C5E6E">
        <w:t>feasibility of environmental provisions</w:t>
      </w:r>
      <w:r w:rsidR="00947FC2">
        <w:rPr>
          <w:rStyle w:val="Refdenotaalpie"/>
        </w:rPr>
        <w:footnoteReference w:id="4"/>
      </w:r>
      <w:r w:rsidR="007C5E6E">
        <w:t>.</w:t>
      </w:r>
    </w:p>
    <w:p w14:paraId="4255A218" w14:textId="1D3BFB5F" w:rsidR="0055741C" w:rsidRDefault="007C5E6E" w:rsidP="007C1815">
      <w:pPr>
        <w:pStyle w:val="Ttulo2"/>
      </w:pPr>
      <w:r>
        <w:t xml:space="preserve">Technopolis Impact Assessment </w:t>
      </w:r>
    </w:p>
    <w:p w14:paraId="723D9D1D" w14:textId="603348A4" w:rsidR="003A3198" w:rsidRDefault="00F32A4D" w:rsidP="000D1837">
      <w:pPr>
        <w:spacing w:after="0"/>
        <w:jc w:val="both"/>
      </w:pPr>
      <w:r>
        <w:t xml:space="preserve">The </w:t>
      </w:r>
      <w:r w:rsidR="00995BA5">
        <w:t>Commission’s</w:t>
      </w:r>
      <w:r>
        <w:t xml:space="preserve"> p</w:t>
      </w:r>
      <w:r w:rsidR="00C813A8">
        <w:t>roposed</w:t>
      </w:r>
      <w:r w:rsidR="001A2F9B">
        <w:t xml:space="preserve"> </w:t>
      </w:r>
      <w:r w:rsidR="00DC7A35">
        <w:t>revisions</w:t>
      </w:r>
      <w:r w:rsidR="00844706">
        <w:t xml:space="preserve"> </w:t>
      </w:r>
      <w:r w:rsidR="000550F4">
        <w:t>build on</w:t>
      </w:r>
      <w:r w:rsidR="001A2F9B">
        <w:t xml:space="preserve"> findings from the </w:t>
      </w:r>
      <w:r w:rsidR="00B35433">
        <w:t>I</w:t>
      </w:r>
      <w:r w:rsidR="00265359">
        <w:t xml:space="preserve">mpact </w:t>
      </w:r>
      <w:r w:rsidR="00B35433">
        <w:t>A</w:t>
      </w:r>
      <w:r w:rsidR="00265359">
        <w:t>ssessment</w:t>
      </w:r>
      <w:r w:rsidR="001A2F9B">
        <w:t xml:space="preserve"> </w:t>
      </w:r>
      <w:r w:rsidR="00C813A8">
        <w:t>conducted</w:t>
      </w:r>
      <w:r w:rsidR="00EF60B2">
        <w:t xml:space="preserve"> </w:t>
      </w:r>
      <w:r w:rsidR="001A2F9B">
        <w:t>by Technopolis</w:t>
      </w:r>
      <w:r w:rsidR="00BD6C2E">
        <w:t xml:space="preserve">, which </w:t>
      </w:r>
      <w:r w:rsidR="00715E5D">
        <w:t>focuse</w:t>
      </w:r>
      <w:r w:rsidR="003712B8">
        <w:t>s</w:t>
      </w:r>
      <w:r w:rsidR="00715E5D">
        <w:t xml:space="preserve"> on</w:t>
      </w:r>
      <w:r w:rsidR="00154F3F">
        <w:t xml:space="preserve"> </w:t>
      </w:r>
      <w:r w:rsidR="002A400B">
        <w:t>the economic and social impact</w:t>
      </w:r>
      <w:r w:rsidR="00EF60B2">
        <w:t>s</w:t>
      </w:r>
      <w:r w:rsidR="002A400B">
        <w:t xml:space="preserve"> of </w:t>
      </w:r>
      <w:r w:rsidR="00715E5D">
        <w:t>different sets of</w:t>
      </w:r>
      <w:r w:rsidR="00620FFE">
        <w:t xml:space="preserve"> policy changes</w:t>
      </w:r>
      <w:r w:rsidR="00A56772">
        <w:rPr>
          <w:rStyle w:val="Refdenotaalpie"/>
        </w:rPr>
        <w:footnoteReference w:id="5"/>
      </w:r>
      <w:r w:rsidR="00C011E2">
        <w:t>.</w:t>
      </w:r>
    </w:p>
    <w:p w14:paraId="40716443" w14:textId="23A7EC07" w:rsidR="00C47B34" w:rsidRDefault="0011402A" w:rsidP="00B50D05">
      <w:pPr>
        <w:pStyle w:val="Prrafodelista"/>
        <w:numPr>
          <w:ilvl w:val="0"/>
          <w:numId w:val="6"/>
        </w:numPr>
        <w:jc w:val="both"/>
      </w:pPr>
      <w:r w:rsidRPr="00310122">
        <w:rPr>
          <w:b/>
          <w:bCs/>
        </w:rPr>
        <w:t xml:space="preserve">Impact </w:t>
      </w:r>
      <w:r w:rsidR="00270700" w:rsidRPr="00310122">
        <w:rPr>
          <w:b/>
          <w:bCs/>
        </w:rPr>
        <w:t xml:space="preserve">of </w:t>
      </w:r>
      <w:r w:rsidR="00996A7B">
        <w:rPr>
          <w:b/>
          <w:bCs/>
        </w:rPr>
        <w:t>changes to incentives</w:t>
      </w:r>
      <w:r w:rsidR="00270700" w:rsidRPr="00310122">
        <w:rPr>
          <w:b/>
          <w:bCs/>
        </w:rPr>
        <w:t>.</w:t>
      </w:r>
      <w:r w:rsidR="00270700">
        <w:t xml:space="preserve"> </w:t>
      </w:r>
      <w:r w:rsidR="006F492A">
        <w:t xml:space="preserve">Technopolis </w:t>
      </w:r>
      <w:r w:rsidR="009A2112">
        <w:t>model</w:t>
      </w:r>
      <w:r w:rsidR="000550F4">
        <w:t>s</w:t>
      </w:r>
      <w:r w:rsidR="009A2112">
        <w:t xml:space="preserve"> the </w:t>
      </w:r>
      <w:r w:rsidR="0043591B">
        <w:t>revenue</w:t>
      </w:r>
      <w:r w:rsidR="009A2112">
        <w:t xml:space="preserve"> lifecycle of </w:t>
      </w:r>
      <w:r w:rsidR="00576068">
        <w:t>an archetypal product relying on</w:t>
      </w:r>
      <w:r w:rsidR="00A10E63">
        <w:t xml:space="preserve"> RDP as its last </w:t>
      </w:r>
      <w:r w:rsidR="002914C6">
        <w:t xml:space="preserve">form </w:t>
      </w:r>
      <w:r w:rsidR="00A10E63">
        <w:t>of protection</w:t>
      </w:r>
      <w:r w:rsidR="00951357">
        <w:t>, based on IQVIA data.</w:t>
      </w:r>
      <w:r w:rsidR="00420EE8">
        <w:t xml:space="preserve"> By s</w:t>
      </w:r>
      <w:r w:rsidR="00EF59DA">
        <w:t>hif</w:t>
      </w:r>
      <w:r w:rsidR="00420EE8">
        <w:t>ting</w:t>
      </w:r>
      <w:r w:rsidR="00310122">
        <w:t xml:space="preserve"> annual</w:t>
      </w:r>
      <w:r w:rsidR="00EF59DA">
        <w:t xml:space="preserve"> revenues to match </w:t>
      </w:r>
      <w:r w:rsidR="00310122">
        <w:t>the timing of loss of exclusivity, t</w:t>
      </w:r>
      <w:r w:rsidR="0000766F">
        <w:t xml:space="preserve">hey </w:t>
      </w:r>
      <w:r w:rsidR="00137A10">
        <w:t xml:space="preserve">suggest that </w:t>
      </w:r>
      <w:r w:rsidR="00680F7A">
        <w:t xml:space="preserve">RDP modulation would result in a </w:t>
      </w:r>
      <w:r w:rsidR="00680F7A">
        <w:rPr>
          <w:rFonts w:cs="Arial"/>
        </w:rPr>
        <w:t>€</w:t>
      </w:r>
      <w:r w:rsidR="004E659A">
        <w:t>89</w:t>
      </w:r>
      <w:r w:rsidR="00680F7A">
        <w:t xml:space="preserve"> million </w:t>
      </w:r>
      <w:r w:rsidR="004A315C">
        <w:t>loss</w:t>
      </w:r>
      <w:r w:rsidR="00791DCF">
        <w:t xml:space="preserve"> </w:t>
      </w:r>
      <w:r w:rsidR="0021097E">
        <w:t xml:space="preserve">in profits for </w:t>
      </w:r>
      <w:r w:rsidR="004F1015">
        <w:t>originators</w:t>
      </w:r>
      <w:r w:rsidR="004A315C">
        <w:t xml:space="preserve">. </w:t>
      </w:r>
    </w:p>
    <w:p w14:paraId="0788B49B" w14:textId="6C8839D5" w:rsidR="00E62735" w:rsidRDefault="00C47B34" w:rsidP="00B50D05">
      <w:pPr>
        <w:pStyle w:val="Prrafodelista"/>
        <w:numPr>
          <w:ilvl w:val="0"/>
          <w:numId w:val="6"/>
        </w:numPr>
        <w:jc w:val="both"/>
      </w:pPr>
      <w:r>
        <w:rPr>
          <w:b/>
          <w:bCs/>
        </w:rPr>
        <w:t>Impact of unmet medical need definition.</w:t>
      </w:r>
      <w:r>
        <w:t xml:space="preserve"> </w:t>
      </w:r>
      <w:r w:rsidR="08057EA0">
        <w:t>By linking RDP modulation to a definition of unmet medical need</w:t>
      </w:r>
      <w:r w:rsidR="00995BA5">
        <w:t>,</w:t>
      </w:r>
      <w:r w:rsidR="08057EA0">
        <w:t xml:space="preserve"> </w:t>
      </w:r>
      <w:r>
        <w:t>Technopolis</w:t>
      </w:r>
      <w:r w:rsidR="004A315C">
        <w:t xml:space="preserve"> </w:t>
      </w:r>
      <w:r w:rsidR="55964976">
        <w:t>anticipates</w:t>
      </w:r>
      <w:r w:rsidR="004A315C">
        <w:t xml:space="preserve"> gains</w:t>
      </w:r>
      <w:r w:rsidR="004F1015">
        <w:t xml:space="preserve"> </w:t>
      </w:r>
      <w:r w:rsidR="00DF7C63">
        <w:t>to society</w:t>
      </w:r>
      <w:r w:rsidR="000E0326">
        <w:t xml:space="preserve"> </w:t>
      </w:r>
      <w:r w:rsidR="000D62FE">
        <w:t>in the form of</w:t>
      </w:r>
      <w:r w:rsidR="00A126E1">
        <w:t xml:space="preserve"> one or two additional unmet medical need</w:t>
      </w:r>
      <w:r w:rsidR="007157F2">
        <w:t xml:space="preserve"> product</w:t>
      </w:r>
      <w:r w:rsidR="3390EA56">
        <w:t>s</w:t>
      </w:r>
      <w:r w:rsidR="00A126E1">
        <w:t xml:space="preserve"> per year.</w:t>
      </w:r>
    </w:p>
    <w:p w14:paraId="568A4AC1" w14:textId="7EBB8CE2" w:rsidR="005E6F34" w:rsidRDefault="00270700" w:rsidP="00B50D05">
      <w:pPr>
        <w:pStyle w:val="Prrafodelista"/>
        <w:numPr>
          <w:ilvl w:val="0"/>
          <w:numId w:val="6"/>
        </w:numPr>
        <w:jc w:val="both"/>
      </w:pPr>
      <w:r w:rsidRPr="005E6F34">
        <w:rPr>
          <w:b/>
          <w:bCs/>
        </w:rPr>
        <w:t xml:space="preserve">Impact of </w:t>
      </w:r>
      <w:r w:rsidR="00996A7B">
        <w:rPr>
          <w:b/>
          <w:bCs/>
        </w:rPr>
        <w:t>access</w:t>
      </w:r>
      <w:r w:rsidRPr="005E6F34">
        <w:rPr>
          <w:b/>
          <w:bCs/>
        </w:rPr>
        <w:t xml:space="preserve"> conditionality.</w:t>
      </w:r>
      <w:r w:rsidR="00EA61B4" w:rsidRPr="005E6F34">
        <w:rPr>
          <w:b/>
          <w:bCs/>
        </w:rPr>
        <w:t xml:space="preserve"> </w:t>
      </w:r>
      <w:r w:rsidR="00502371">
        <w:t xml:space="preserve">Technopolis </w:t>
      </w:r>
      <w:r w:rsidR="00EA61B4">
        <w:t>estimate</w:t>
      </w:r>
      <w:r w:rsidR="000550F4">
        <w:t>s</w:t>
      </w:r>
      <w:r w:rsidR="005D6BFD">
        <w:t xml:space="preserve"> the social impact</w:t>
      </w:r>
      <w:r w:rsidR="00F35848">
        <w:t xml:space="preserve"> of </w:t>
      </w:r>
      <w:r w:rsidR="001A125E">
        <w:t xml:space="preserve">linking RDP </w:t>
      </w:r>
      <w:r w:rsidR="007B58BE">
        <w:t>duration to patient access by making two years of RDP conditional on launch and continuous supply in all 27 Member States (unless a waiver is obtained).</w:t>
      </w:r>
      <w:r w:rsidR="00C364A6">
        <w:t xml:space="preserve"> </w:t>
      </w:r>
      <w:r w:rsidR="000550F4">
        <w:t>A</w:t>
      </w:r>
      <w:r w:rsidR="00D40529">
        <w:t>ssum</w:t>
      </w:r>
      <w:r w:rsidR="000550F4">
        <w:t>ing</w:t>
      </w:r>
      <w:r w:rsidR="00D40529">
        <w:t xml:space="preserve"> that two thirds of manufacturers would </w:t>
      </w:r>
      <w:r w:rsidR="00C813A8">
        <w:t xml:space="preserve">be able to </w:t>
      </w:r>
      <w:r w:rsidR="00D40529">
        <w:t>comply with the condition,</w:t>
      </w:r>
      <w:r w:rsidR="000550F4">
        <w:t xml:space="preserve"> </w:t>
      </w:r>
      <w:r w:rsidR="00662368">
        <w:t xml:space="preserve">90% </w:t>
      </w:r>
      <w:r w:rsidR="00200A06">
        <w:t xml:space="preserve">of the EU population </w:t>
      </w:r>
      <w:r w:rsidR="00C813A8">
        <w:t>is measured to gain</w:t>
      </w:r>
      <w:r w:rsidR="00200A06">
        <w:t xml:space="preserve"> </w:t>
      </w:r>
      <w:r w:rsidR="00662368">
        <w:t>acces</w:t>
      </w:r>
      <w:r w:rsidR="00C14690">
        <w:t>s</w:t>
      </w:r>
      <w:r w:rsidR="000550F4">
        <w:t xml:space="preserve"> to newly launched medicines</w:t>
      </w:r>
      <w:r w:rsidR="00C14690">
        <w:t xml:space="preserve"> </w:t>
      </w:r>
      <w:r w:rsidR="000550F4">
        <w:t>within three years of marketing authorisation,</w:t>
      </w:r>
      <w:r w:rsidR="00C14690">
        <w:t xml:space="preserve"> up from </w:t>
      </w:r>
      <w:r w:rsidR="00EF60B2">
        <w:t>~63</w:t>
      </w:r>
      <w:r w:rsidR="005E6F34">
        <w:t xml:space="preserve">%. </w:t>
      </w:r>
    </w:p>
    <w:p w14:paraId="4B02EB00" w14:textId="0A06D0F7" w:rsidR="00C47B34" w:rsidRDefault="00C47B34" w:rsidP="00B50D05">
      <w:pPr>
        <w:pStyle w:val="Prrafodelista"/>
        <w:numPr>
          <w:ilvl w:val="0"/>
          <w:numId w:val="6"/>
        </w:numPr>
        <w:jc w:val="both"/>
      </w:pPr>
      <w:r>
        <w:rPr>
          <w:b/>
          <w:bCs/>
        </w:rPr>
        <w:t xml:space="preserve">Impact of environmental requirements. </w:t>
      </w:r>
      <w:r w:rsidR="00F66623" w:rsidRPr="00FF0C2D">
        <w:t xml:space="preserve">Technopolis </w:t>
      </w:r>
      <w:r w:rsidR="002923F0" w:rsidRPr="00FF0C2D">
        <w:t xml:space="preserve">qualitatively </w:t>
      </w:r>
      <w:r w:rsidR="00991B5D" w:rsidRPr="00FF0C2D">
        <w:t>assesse</w:t>
      </w:r>
      <w:r w:rsidR="00C813A8">
        <w:t>s</w:t>
      </w:r>
      <w:r w:rsidR="00991B5D" w:rsidRPr="00FF0C2D">
        <w:t xml:space="preserve"> environmental impact</w:t>
      </w:r>
      <w:r w:rsidR="0068243F">
        <w:t xml:space="preserve"> </w:t>
      </w:r>
      <w:r w:rsidR="00991B5D">
        <w:t xml:space="preserve">and </w:t>
      </w:r>
      <w:r w:rsidR="007035D0">
        <w:t>suggest</w:t>
      </w:r>
      <w:r w:rsidR="0068243F">
        <w:t>s</w:t>
      </w:r>
      <w:r w:rsidR="007035D0">
        <w:t xml:space="preserve"> that </w:t>
      </w:r>
      <w:r w:rsidR="00F51D61">
        <w:t xml:space="preserve">measures will </w:t>
      </w:r>
      <w:r w:rsidR="00412AFA">
        <w:t xml:space="preserve">reduce </w:t>
      </w:r>
      <w:r w:rsidR="00A5765D">
        <w:t xml:space="preserve">the likelihood of </w:t>
      </w:r>
      <w:r w:rsidR="00412AFA">
        <w:t>potential</w:t>
      </w:r>
      <w:r w:rsidR="000B64D4">
        <w:t xml:space="preserve"> disruptions to ecosystems and human health</w:t>
      </w:r>
      <w:r w:rsidR="00770F82">
        <w:t xml:space="preserve"> and</w:t>
      </w:r>
      <w:r w:rsidR="00412AFA">
        <w:t xml:space="preserve"> lead to</w:t>
      </w:r>
      <w:r w:rsidR="00770F82">
        <w:t xml:space="preserve"> greater environmental awareness but </w:t>
      </w:r>
      <w:r w:rsidR="001D6345">
        <w:t>may result in high costs and administrative burden</w:t>
      </w:r>
      <w:r w:rsidR="00C73466">
        <w:t>.</w:t>
      </w:r>
    </w:p>
    <w:p w14:paraId="72F20B33" w14:textId="759BFDE3" w:rsidR="00877441" w:rsidRDefault="006E5FD2" w:rsidP="00C9303D">
      <w:pPr>
        <w:jc w:val="both"/>
      </w:pPr>
      <w:r>
        <w:t xml:space="preserve">Although </w:t>
      </w:r>
      <w:r w:rsidR="6C7A34FA">
        <w:t xml:space="preserve">these </w:t>
      </w:r>
      <w:r w:rsidR="00632160">
        <w:t>analyses</w:t>
      </w:r>
      <w:r>
        <w:t xml:space="preserve"> build on </w:t>
      </w:r>
      <w:r w:rsidR="00BA7D77">
        <w:t>robust data</w:t>
      </w:r>
      <w:r w:rsidR="003928EF">
        <w:t>, they</w:t>
      </w:r>
      <w:r w:rsidR="00632160">
        <w:t xml:space="preserve"> present shortcomings</w:t>
      </w:r>
      <w:r w:rsidR="000917C3">
        <w:t xml:space="preserve"> in their conceptual framing</w:t>
      </w:r>
      <w:r w:rsidR="00C813A8">
        <w:t>:</w:t>
      </w:r>
      <w:r w:rsidR="001A5B9C">
        <w:t xml:space="preserve"> model</w:t>
      </w:r>
      <w:r w:rsidR="000917C3">
        <w:t>ling</w:t>
      </w:r>
      <w:r w:rsidR="001A5B9C">
        <w:t xml:space="preserve"> assum</w:t>
      </w:r>
      <w:r w:rsidR="002737EB">
        <w:t>e</w:t>
      </w:r>
      <w:r w:rsidR="000917C3">
        <w:t>s</w:t>
      </w:r>
      <w:r w:rsidR="001A5B9C">
        <w:t xml:space="preserve"> that investment decisions are static</w:t>
      </w:r>
      <w:r w:rsidR="002737EB">
        <w:t xml:space="preserve"> rather than dynamic</w:t>
      </w:r>
      <w:r w:rsidR="00072A82">
        <w:t xml:space="preserve"> and does not take into consideration the knock-on impact of legislative changes on </w:t>
      </w:r>
      <w:r w:rsidR="000550F4">
        <w:t xml:space="preserve">developers’ </w:t>
      </w:r>
      <w:r w:rsidR="00CE4370">
        <w:t xml:space="preserve">portfolio investment </w:t>
      </w:r>
      <w:r w:rsidR="00072A82">
        <w:t>decisions.</w:t>
      </w:r>
    </w:p>
    <w:p w14:paraId="4C3A637B" w14:textId="2C6A639F" w:rsidR="00154846" w:rsidRDefault="00A90BE1" w:rsidP="007C1815">
      <w:pPr>
        <w:pStyle w:val="Ttulo2"/>
      </w:pPr>
      <w:r>
        <w:t>Report</w:t>
      </w:r>
      <w:r w:rsidR="00154846">
        <w:t xml:space="preserve"> objectives </w:t>
      </w:r>
    </w:p>
    <w:p w14:paraId="399BD539" w14:textId="142AADF7" w:rsidR="00A8387A" w:rsidRDefault="00654263" w:rsidP="00654263">
      <w:pPr>
        <w:jc w:val="both"/>
      </w:pPr>
      <w:r>
        <w:t>Th</w:t>
      </w:r>
      <w:r w:rsidR="00224614">
        <w:t>e</w:t>
      </w:r>
      <w:r>
        <w:t xml:space="preserve"> update of the </w:t>
      </w:r>
      <w:r w:rsidR="006B25CA">
        <w:t>P</w:t>
      </w:r>
      <w:r>
        <w:t xml:space="preserve">harmaceutical </w:t>
      </w:r>
      <w:r w:rsidR="0068243F">
        <w:t xml:space="preserve">Legislation </w:t>
      </w:r>
      <w:r>
        <w:t>represents a once-in-a-</w:t>
      </w:r>
      <w:r w:rsidR="00EA2DD7">
        <w:t xml:space="preserve">generation </w:t>
      </w:r>
      <w:r>
        <w:t>chance to strengthen the European ecosystem, if fit-for-purpose policy options are implemented in response to the ambitious goals set.</w:t>
      </w:r>
      <w:r w:rsidR="00801C56">
        <w:t xml:space="preserve"> </w:t>
      </w:r>
      <w:r w:rsidR="7AF63F5A">
        <w:t xml:space="preserve">The </w:t>
      </w:r>
      <w:r w:rsidR="3AF7D005">
        <w:t>c</w:t>
      </w:r>
      <w:r w:rsidR="00801C56">
        <w:t>hanges proposed by the Commission stand to have a profound impact on manufacturer’s investment and launch decisions, and hence on innovation and patient access.</w:t>
      </w:r>
      <w:r w:rsidR="003934CB">
        <w:t xml:space="preserve"> I</w:t>
      </w:r>
      <w:r w:rsidR="00801C56">
        <w:t>t is e</w:t>
      </w:r>
      <w:r w:rsidR="00173929">
        <w:t>ssential</w:t>
      </w:r>
      <w:r w:rsidR="00173929" w:rsidRPr="00173929">
        <w:t xml:space="preserve"> t</w:t>
      </w:r>
      <w:r w:rsidR="00801C56">
        <w:t>hat legislative updates be grounded in a</w:t>
      </w:r>
      <w:r w:rsidR="00173929">
        <w:t xml:space="preserve"> </w:t>
      </w:r>
      <w:r w:rsidR="00173929" w:rsidRPr="00173929">
        <w:t xml:space="preserve">robust </w:t>
      </w:r>
      <w:r w:rsidR="003D5C8F">
        <w:t>evaluation</w:t>
      </w:r>
      <w:r w:rsidR="00173929" w:rsidRPr="00173929">
        <w:t xml:space="preserve"> of their potential impact, rooted in the dynamics of the pharmaceutical industry</w:t>
      </w:r>
      <w:r w:rsidR="00E92797">
        <w:t xml:space="preserve">. </w:t>
      </w:r>
    </w:p>
    <w:p w14:paraId="7CA23635" w14:textId="0699AE42" w:rsidR="00207C05" w:rsidRDefault="003934CB" w:rsidP="005706F2">
      <w:pPr>
        <w:jc w:val="both"/>
      </w:pPr>
      <w:r>
        <w:t>Accordingly, this report presents an Impact Assessment aimed at complementing Technopolis’ findings.</w:t>
      </w:r>
      <w:r w:rsidR="00206DBF">
        <w:t xml:space="preserve"> </w:t>
      </w:r>
      <w:r w:rsidR="00663A56">
        <w:t xml:space="preserve">Importantly, </w:t>
      </w:r>
      <w:r w:rsidR="00F80A5C">
        <w:t xml:space="preserve">the approach </w:t>
      </w:r>
      <w:r w:rsidR="007B5CE9">
        <w:t xml:space="preserve">is designed to </w:t>
      </w:r>
      <w:r w:rsidR="00CE4370">
        <w:t xml:space="preserve">dynamically </w:t>
      </w:r>
      <w:r w:rsidR="007B5CE9">
        <w:t>reflect</w:t>
      </w:r>
      <w:r w:rsidR="004174A1">
        <w:t xml:space="preserve"> how </w:t>
      </w:r>
      <w:r w:rsidR="00A3709E">
        <w:t xml:space="preserve">pharmaceutical companies make real-life </w:t>
      </w:r>
      <w:r w:rsidR="00CE4370">
        <w:t xml:space="preserve">investment and launch </w:t>
      </w:r>
      <w:r w:rsidR="00A3709E">
        <w:t>decisions.</w:t>
      </w:r>
      <w:r w:rsidR="00FC1433">
        <w:t xml:space="preserve"> </w:t>
      </w:r>
      <w:r w:rsidR="00206DBF">
        <w:t>Subsequent sections detail</w:t>
      </w:r>
      <w:r w:rsidR="00BF5547">
        <w:t xml:space="preserve"> </w:t>
      </w:r>
      <w:r w:rsidR="004F14FD">
        <w:t>the methodolog</w:t>
      </w:r>
      <w:r w:rsidR="00A53B1C">
        <w:t>y</w:t>
      </w:r>
      <w:r w:rsidR="004F14FD">
        <w:t>, present</w:t>
      </w:r>
      <w:r w:rsidR="00BD0CE0">
        <w:t xml:space="preserve"> </w:t>
      </w:r>
      <w:proofErr w:type="gramStart"/>
      <w:r w:rsidR="00BD0CE0">
        <w:t>results</w:t>
      </w:r>
      <w:proofErr w:type="gramEnd"/>
      <w:r w:rsidR="00BF5547">
        <w:t xml:space="preserve"> and </w:t>
      </w:r>
      <w:r w:rsidR="007C0EEE">
        <w:t xml:space="preserve">highlight </w:t>
      </w:r>
      <w:r w:rsidR="006B25CA">
        <w:t>implications</w:t>
      </w:r>
      <w:r w:rsidR="00BF5547">
        <w:t xml:space="preserve"> </w:t>
      </w:r>
      <w:r w:rsidR="007C0EEE">
        <w:t>from</w:t>
      </w:r>
      <w:r w:rsidR="00BF5547">
        <w:t xml:space="preserve"> the modelling results. </w:t>
      </w:r>
    </w:p>
    <w:p w14:paraId="5137664C" w14:textId="2902D788" w:rsidR="003D3DCD" w:rsidRPr="004C5A19" w:rsidRDefault="003D3DCD" w:rsidP="00D71DFE">
      <w:pPr>
        <w:pStyle w:val="Heading1noborder"/>
      </w:pPr>
      <w:r w:rsidRPr="004C5A19">
        <w:lastRenderedPageBreak/>
        <w:t>Analytical approach</w:t>
      </w:r>
    </w:p>
    <w:p w14:paraId="3FAA1D4F" w14:textId="599F216C" w:rsidR="00191FE2" w:rsidRDefault="00885439" w:rsidP="00191FE2">
      <w:pPr>
        <w:pStyle w:val="Ttulo2"/>
      </w:pPr>
      <w:r>
        <w:t xml:space="preserve">Overarching approach. </w:t>
      </w:r>
      <w:r w:rsidR="00C703FC">
        <w:t>Our</w:t>
      </w:r>
      <w:r w:rsidR="00A05664">
        <w:t xml:space="preserve"> Impact </w:t>
      </w:r>
      <w:r w:rsidR="00C703FC">
        <w:t>A</w:t>
      </w:r>
      <w:r w:rsidR="00A05664">
        <w:t xml:space="preserve">ssessment </w:t>
      </w:r>
      <w:r w:rsidR="00BB662F">
        <w:t>adopt</w:t>
      </w:r>
      <w:r>
        <w:t>s</w:t>
      </w:r>
      <w:r w:rsidR="00B54696">
        <w:t xml:space="preserve"> a </w:t>
      </w:r>
      <w:r w:rsidR="007B5CE9">
        <w:t xml:space="preserve">risk-adjusted </w:t>
      </w:r>
      <w:r w:rsidR="00B54696">
        <w:t>net present value (</w:t>
      </w:r>
      <w:r w:rsidR="007B5CE9">
        <w:t>r</w:t>
      </w:r>
      <w:r w:rsidR="00B54696">
        <w:t>NPV) approach</w:t>
      </w:r>
      <w:r w:rsidR="00C8012B">
        <w:t>,</w:t>
      </w:r>
      <w:r w:rsidR="00B54696">
        <w:t xml:space="preserve"> which </w:t>
      </w:r>
      <w:r w:rsidR="00A05664">
        <w:t>dynamically represent</w:t>
      </w:r>
      <w:r w:rsidR="003E63D1">
        <w:t>s</w:t>
      </w:r>
      <w:r w:rsidR="00A05664">
        <w:t xml:space="preserve"> the impact of the policy environment on investment and launch </w:t>
      </w:r>
      <w:proofErr w:type="gramStart"/>
      <w:r w:rsidR="00A05664">
        <w:t>decisions</w:t>
      </w:r>
      <w:proofErr w:type="gramEnd"/>
    </w:p>
    <w:p w14:paraId="5A4E465F" w14:textId="68ED3F46" w:rsidR="00937DF3" w:rsidRDefault="00B41145" w:rsidP="007D7753">
      <w:pPr>
        <w:jc w:val="both"/>
      </w:pPr>
      <w:r>
        <w:t xml:space="preserve">Pharmaceutical </w:t>
      </w:r>
      <w:r w:rsidR="00F3090D">
        <w:t>R&amp;D is characterised by expensive</w:t>
      </w:r>
      <w:r w:rsidR="00A7537C">
        <w:t xml:space="preserve"> </w:t>
      </w:r>
      <w:r w:rsidR="00EA2DD7">
        <w:t xml:space="preserve">clinical, non-clinical and </w:t>
      </w:r>
      <w:r w:rsidR="00F9613C">
        <w:t>quality research</w:t>
      </w:r>
      <w:r w:rsidR="00F3090D">
        <w:t>, long development timelines</w:t>
      </w:r>
      <w:r w:rsidR="00035647">
        <w:t xml:space="preserve"> and a</w:t>
      </w:r>
      <w:r w:rsidR="00F3090D">
        <w:t xml:space="preserve"> high risk of failure</w:t>
      </w:r>
      <w:r w:rsidR="00EF7C8B">
        <w:t>. That is why</w:t>
      </w:r>
      <w:r w:rsidR="00E95949">
        <w:t>,</w:t>
      </w:r>
      <w:r w:rsidR="000024FC">
        <w:t xml:space="preserve"> when pharmaceutical companies make investment decisions</w:t>
      </w:r>
      <w:r w:rsidR="00E95949">
        <w:t xml:space="preserve">, they </w:t>
      </w:r>
      <w:r w:rsidR="00933508">
        <w:t xml:space="preserve">balance the expected revenue with the </w:t>
      </w:r>
      <w:r w:rsidR="00C71E41">
        <w:t>financial risk entailed by</w:t>
      </w:r>
      <w:r w:rsidR="00BD444A">
        <w:t xml:space="preserve"> the R&amp;D process. In a nutshell, the expected revenue must sufficiently exceed the </w:t>
      </w:r>
      <w:r w:rsidR="58AD14F8">
        <w:t xml:space="preserve">predicted </w:t>
      </w:r>
      <w:r w:rsidR="00F41A88">
        <w:t xml:space="preserve">outlay on </w:t>
      </w:r>
      <w:r w:rsidR="00F46CB2">
        <w:t>R&amp;D costs (</w:t>
      </w:r>
      <w:r w:rsidR="00EC5EA0">
        <w:t>including</w:t>
      </w:r>
      <w:r w:rsidR="00F46CB2">
        <w:t xml:space="preserve"> </w:t>
      </w:r>
      <w:r w:rsidR="00F41A88">
        <w:t>clinical trials</w:t>
      </w:r>
      <w:r w:rsidR="00F46CB2">
        <w:t>)</w:t>
      </w:r>
      <w:r w:rsidR="00EC2076">
        <w:t xml:space="preserve"> across all </w:t>
      </w:r>
      <w:r w:rsidR="007A6020">
        <w:t xml:space="preserve">successful </w:t>
      </w:r>
      <w:r w:rsidR="007A6020">
        <w:rPr>
          <w:i/>
          <w:iCs/>
        </w:rPr>
        <w:t xml:space="preserve">and unsuccessful </w:t>
      </w:r>
      <w:r w:rsidR="00EC2076">
        <w:t>development programmes</w:t>
      </w:r>
      <w:r w:rsidR="007A6020">
        <w:t xml:space="preserve"> within </w:t>
      </w:r>
      <w:r w:rsidR="00A55A92">
        <w:t>a set timeframe.</w:t>
      </w:r>
      <w:r w:rsidR="00F70B8C">
        <w:t xml:space="preserve"> Similarly, when making launch decisions, </w:t>
      </w:r>
      <w:r w:rsidR="00841785">
        <w:t xml:space="preserve">companies </w:t>
      </w:r>
      <w:r w:rsidR="003A7420">
        <w:t>compare</w:t>
      </w:r>
      <w:r w:rsidR="00841785">
        <w:t xml:space="preserve"> </w:t>
      </w:r>
      <w:r w:rsidR="00841785" w:rsidRPr="00DC5680">
        <w:t xml:space="preserve">the marginal overheads associated with distributing in an additional country </w:t>
      </w:r>
      <w:r w:rsidR="003A7420" w:rsidRPr="00DC5680">
        <w:t>with the revenue upside.</w:t>
      </w:r>
      <w:r w:rsidR="00C468B8" w:rsidRPr="00DC5680">
        <w:t xml:space="preserve"> The </w:t>
      </w:r>
      <w:r w:rsidR="00F62698" w:rsidRPr="00DC5680">
        <w:t>central</w:t>
      </w:r>
      <w:r w:rsidR="00F62698">
        <w:t xml:space="preserve"> </w:t>
      </w:r>
      <w:r w:rsidR="00C468B8">
        <w:t xml:space="preserve">importance of financial analysis in decisions </w:t>
      </w:r>
      <w:r w:rsidR="2B7FEC7F">
        <w:t xml:space="preserve">taken </w:t>
      </w:r>
      <w:r w:rsidR="00C468B8">
        <w:t xml:space="preserve">up to launch was confirmed in a recent analysis commissioned by the Dutch </w:t>
      </w:r>
      <w:r w:rsidR="00C468B8" w:rsidRPr="00C468B8">
        <w:t>Ministry of Health, Welfare and Sports</w:t>
      </w:r>
      <w:r w:rsidR="00C468B8">
        <w:rPr>
          <w:rStyle w:val="Refdenotaalpie"/>
        </w:rPr>
        <w:footnoteReference w:id="6"/>
      </w:r>
      <w:r w:rsidR="00C468B8">
        <w:t>.</w:t>
      </w:r>
    </w:p>
    <w:p w14:paraId="78218293" w14:textId="70DD979F" w:rsidR="00937DF3" w:rsidRDefault="00937DF3" w:rsidP="00841B22">
      <w:pPr>
        <w:spacing w:after="0"/>
        <w:jc w:val="both"/>
      </w:pPr>
      <w:r>
        <w:t xml:space="preserve">These </w:t>
      </w:r>
      <w:r w:rsidR="00EC5EA0">
        <w:t xml:space="preserve">investment decisions </w:t>
      </w:r>
      <w:r>
        <w:t xml:space="preserve">are routinely helped by financial analysis, most commonly relying on rNPV modelling (or a close variation). </w:t>
      </w:r>
      <w:r w:rsidR="00862A2C">
        <w:t xml:space="preserve">A rNPV model </w:t>
      </w:r>
      <w:r w:rsidR="00E57085">
        <w:t>neatly summarises the strength of the investment proposition in a single figure</w:t>
      </w:r>
      <w:r w:rsidR="00E27D87">
        <w:t xml:space="preserve"> by combining inputs relevant to the four key</w:t>
      </w:r>
      <w:r w:rsidR="00E23F5E">
        <w:t xml:space="preserve"> dimensions of pharmaceutical </w:t>
      </w:r>
      <w:r w:rsidR="00E47CA3">
        <w:t>investment:</w:t>
      </w:r>
    </w:p>
    <w:p w14:paraId="5DE23E45" w14:textId="1088B02C" w:rsidR="00E23F5E" w:rsidRDefault="00064FDC" w:rsidP="00B50D05">
      <w:pPr>
        <w:pStyle w:val="Prrafodelista"/>
        <w:numPr>
          <w:ilvl w:val="0"/>
          <w:numId w:val="10"/>
        </w:numPr>
        <w:jc w:val="both"/>
      </w:pPr>
      <w:r>
        <w:rPr>
          <w:b/>
          <w:bCs/>
        </w:rPr>
        <w:t xml:space="preserve">Revenue </w:t>
      </w:r>
      <w:r w:rsidRPr="00064FDC">
        <w:t>expected</w:t>
      </w:r>
      <w:r>
        <w:t xml:space="preserve"> based on the size of the patient population, </w:t>
      </w:r>
      <w:r w:rsidR="00594F45">
        <w:t xml:space="preserve">achievable price </w:t>
      </w:r>
      <w:r w:rsidR="00A459FA">
        <w:t xml:space="preserve">(at net </w:t>
      </w:r>
      <w:r w:rsidR="00594F45">
        <w:t>level</w:t>
      </w:r>
      <w:r w:rsidR="00A459FA">
        <w:t>)</w:t>
      </w:r>
      <w:r w:rsidR="00594F45">
        <w:t xml:space="preserve"> and duration of the </w:t>
      </w:r>
      <w:r w:rsidR="0086211B">
        <w:t xml:space="preserve">market exclusivity </w:t>
      </w:r>
      <w:proofErr w:type="gramStart"/>
      <w:r w:rsidR="0086211B">
        <w:t>period</w:t>
      </w:r>
      <w:r w:rsidR="003F6465">
        <w:t>;</w:t>
      </w:r>
      <w:proofErr w:type="gramEnd"/>
    </w:p>
    <w:p w14:paraId="6D1FF863" w14:textId="2CB9FE96" w:rsidR="003F6465" w:rsidRDefault="003F6465" w:rsidP="00B50D05">
      <w:pPr>
        <w:pStyle w:val="Prrafodelista"/>
        <w:numPr>
          <w:ilvl w:val="0"/>
          <w:numId w:val="10"/>
        </w:numPr>
        <w:jc w:val="both"/>
      </w:pPr>
      <w:r>
        <w:rPr>
          <w:b/>
          <w:bCs/>
        </w:rPr>
        <w:t>Costs</w:t>
      </w:r>
      <w:r>
        <w:t xml:space="preserve"> of R&amp;D, production (COGS)</w:t>
      </w:r>
      <w:r w:rsidR="00D83C06">
        <w:t xml:space="preserve">, and </w:t>
      </w:r>
      <w:r w:rsidR="00226C8D">
        <w:t>administration (SG&amp;A</w:t>
      </w:r>
      <w:proofErr w:type="gramStart"/>
      <w:r w:rsidR="00226C8D">
        <w:t>);</w:t>
      </w:r>
      <w:proofErr w:type="gramEnd"/>
    </w:p>
    <w:p w14:paraId="2118D88D" w14:textId="1CA88416" w:rsidR="00226C8D" w:rsidRDefault="00226C8D" w:rsidP="00B50D05">
      <w:pPr>
        <w:pStyle w:val="Prrafodelista"/>
        <w:numPr>
          <w:ilvl w:val="0"/>
          <w:numId w:val="10"/>
        </w:numPr>
        <w:jc w:val="both"/>
      </w:pPr>
      <w:r>
        <w:rPr>
          <w:b/>
          <w:bCs/>
        </w:rPr>
        <w:t xml:space="preserve">Risk </w:t>
      </w:r>
      <w:r>
        <w:t>of failure</w:t>
      </w:r>
      <w:r w:rsidR="00612368">
        <w:t xml:space="preserve"> (i.</w:t>
      </w:r>
      <w:r w:rsidR="00DC5866">
        <w:t>e.,</w:t>
      </w:r>
      <w:r w:rsidR="00A459FA">
        <w:t xml:space="preserve"> risk of</w:t>
      </w:r>
      <w:r w:rsidR="00DC5866">
        <w:t xml:space="preserve"> not obtaining</w:t>
      </w:r>
      <w:r w:rsidR="00A459FA">
        <w:t xml:space="preserve"> a</w:t>
      </w:r>
      <w:r w:rsidR="00DC5866">
        <w:t xml:space="preserve"> marketing authorisation</w:t>
      </w:r>
      <w:proofErr w:type="gramStart"/>
      <w:r w:rsidR="00F85DBD">
        <w:t>)</w:t>
      </w:r>
      <w:r w:rsidR="00E47CA3">
        <w:t>;</w:t>
      </w:r>
      <w:proofErr w:type="gramEnd"/>
    </w:p>
    <w:p w14:paraId="72D19357" w14:textId="3893906A" w:rsidR="00F85DBD" w:rsidRDefault="00F85DBD" w:rsidP="00B50D05">
      <w:pPr>
        <w:pStyle w:val="Prrafodelista"/>
        <w:numPr>
          <w:ilvl w:val="0"/>
          <w:numId w:val="10"/>
        </w:numPr>
        <w:spacing w:after="0"/>
        <w:jc w:val="both"/>
      </w:pPr>
      <w:r>
        <w:rPr>
          <w:b/>
          <w:bCs/>
        </w:rPr>
        <w:t xml:space="preserve">Time </w:t>
      </w:r>
      <w:r>
        <w:t>from initial investment to revenue (which is critical</w:t>
      </w:r>
      <w:r w:rsidR="00303A2C">
        <w:t xml:space="preserve">ly important for </w:t>
      </w:r>
      <w:r>
        <w:t>investors).</w:t>
      </w:r>
    </w:p>
    <w:p w14:paraId="39E57FFA" w14:textId="74A85E00" w:rsidR="00161876" w:rsidRPr="00937DF3" w:rsidRDefault="00B642F8" w:rsidP="00161876">
      <w:pPr>
        <w:jc w:val="both"/>
      </w:pPr>
      <w:r>
        <w:t>A</w:t>
      </w:r>
      <w:r w:rsidR="0087627D">
        <w:t>n</w:t>
      </w:r>
      <w:r>
        <w:t xml:space="preserve"> rNPV greater than zero</w:t>
      </w:r>
      <w:r w:rsidR="003621EC">
        <w:t xml:space="preserve"> theoretically indicates an opportunity worth pursuing, although </w:t>
      </w:r>
      <w:r w:rsidR="00A16F64">
        <w:t xml:space="preserve">companies and </w:t>
      </w:r>
      <w:r w:rsidR="003621EC">
        <w:t xml:space="preserve">investors </w:t>
      </w:r>
      <w:r w:rsidR="00A16F64">
        <w:t xml:space="preserve">generally require </w:t>
      </w:r>
      <w:r w:rsidR="00A51E16">
        <w:t xml:space="preserve">a </w:t>
      </w:r>
      <w:r w:rsidR="00A16F64">
        <w:t xml:space="preserve">much larger value to </w:t>
      </w:r>
      <w:r w:rsidR="00E74809">
        <w:t>consider investment.</w:t>
      </w:r>
    </w:p>
    <w:p w14:paraId="4C9FB3EB" w14:textId="12F3E6F3" w:rsidR="006F2FB7" w:rsidRPr="004C5A19" w:rsidRDefault="0024130D" w:rsidP="007D7753">
      <w:pPr>
        <w:jc w:val="both"/>
      </w:pPr>
      <w:r>
        <w:t xml:space="preserve">rNPV provides a strong </w:t>
      </w:r>
      <w:r w:rsidR="003336F3">
        <w:t xml:space="preserve">conceptual framework to </w:t>
      </w:r>
      <w:r w:rsidR="00A52B64">
        <w:t>evaluate the impact of legislative provisions</w:t>
      </w:r>
      <w:r w:rsidR="007920B8">
        <w:t>. Indeed,</w:t>
      </w:r>
      <w:r w:rsidR="00C468B8">
        <w:t xml:space="preserve"> </w:t>
      </w:r>
      <w:r w:rsidR="007920B8">
        <w:t xml:space="preserve">it </w:t>
      </w:r>
      <w:r w:rsidR="00B44C23">
        <w:t xml:space="preserve">yields a </w:t>
      </w:r>
      <w:r w:rsidR="00FC45CD">
        <w:t xml:space="preserve">simple and easily comparable quantification of the strength of the </w:t>
      </w:r>
      <w:r w:rsidR="009041A4">
        <w:t>economic</w:t>
      </w:r>
      <w:r w:rsidR="00FC45CD">
        <w:t xml:space="preserve"> proposition</w:t>
      </w:r>
      <w:r w:rsidR="00840FF8">
        <w:t xml:space="preserve"> for investment or </w:t>
      </w:r>
      <w:r w:rsidR="00840FF8" w:rsidRPr="00DC5680">
        <w:t>launch</w:t>
      </w:r>
      <w:r w:rsidR="00FC45CD" w:rsidRPr="00DC5680">
        <w:t>.</w:t>
      </w:r>
      <w:r w:rsidR="00DA46CF" w:rsidRPr="00DC5680">
        <w:t xml:space="preserve"> </w:t>
      </w:r>
      <w:r w:rsidR="002F0C29" w:rsidRPr="00DC5680">
        <w:t xml:space="preserve">It permits </w:t>
      </w:r>
      <w:r w:rsidR="00DC5680" w:rsidRPr="00D71DFE">
        <w:t>the</w:t>
      </w:r>
      <w:r w:rsidR="00DC5680" w:rsidRPr="00DC5680">
        <w:t xml:space="preserve"> </w:t>
      </w:r>
      <w:r w:rsidR="002F0C29" w:rsidRPr="00DC5680">
        <w:t>capture</w:t>
      </w:r>
      <w:r w:rsidR="00DC5680" w:rsidRPr="00D71DFE">
        <w:t xml:space="preserve"> of</w:t>
      </w:r>
      <w:r w:rsidR="001154FB" w:rsidRPr="00DC5680">
        <w:t xml:space="preserve"> </w:t>
      </w:r>
      <w:r w:rsidR="00D6278E" w:rsidRPr="00DC5680">
        <w:t>how</w:t>
      </w:r>
      <w:r w:rsidR="00321ABA">
        <w:t xml:space="preserve"> environmental </w:t>
      </w:r>
      <w:r w:rsidR="002F0C29" w:rsidRPr="004C5A19">
        <w:t xml:space="preserve">changes </w:t>
      </w:r>
      <w:r w:rsidR="00321ABA">
        <w:t>(</w:t>
      </w:r>
      <w:r w:rsidR="00D02A9D">
        <w:t xml:space="preserve">including </w:t>
      </w:r>
      <w:r w:rsidR="00321ABA">
        <w:t>changes to intellectual property</w:t>
      </w:r>
      <w:r w:rsidR="00A459FA">
        <w:t xml:space="preserve"> (IP)</w:t>
      </w:r>
      <w:r w:rsidR="00321ABA">
        <w:t xml:space="preserve"> protections, </w:t>
      </w:r>
      <w:r w:rsidR="00E640D2">
        <w:t>to</w:t>
      </w:r>
      <w:r w:rsidR="00461E02">
        <w:t xml:space="preserve"> regulatory requirements</w:t>
      </w:r>
      <w:r w:rsidR="00840FF8">
        <w:t>,</w:t>
      </w:r>
      <w:r w:rsidR="00461E02">
        <w:t xml:space="preserve"> </w:t>
      </w:r>
      <w:r w:rsidR="002F0C29" w:rsidRPr="004C5A19">
        <w:t xml:space="preserve">or </w:t>
      </w:r>
      <w:r w:rsidR="00461E02">
        <w:t xml:space="preserve">to </w:t>
      </w:r>
      <w:r w:rsidR="002F0C29" w:rsidRPr="004C5A19">
        <w:t>pricing and reimbursement</w:t>
      </w:r>
      <w:r w:rsidR="00A459FA">
        <w:t xml:space="preserve"> (P&amp;R)</w:t>
      </w:r>
      <w:r w:rsidR="002F0C29" w:rsidRPr="004C5A19">
        <w:t xml:space="preserve"> </w:t>
      </w:r>
      <w:r w:rsidR="00D02A9D">
        <w:t xml:space="preserve">frameworks) </w:t>
      </w:r>
      <w:r w:rsidR="00D6278E">
        <w:t>are factored in</w:t>
      </w:r>
      <w:r w:rsidR="006F2FB7" w:rsidRPr="004C5A19">
        <w:t xml:space="preserve"> </w:t>
      </w:r>
      <w:r w:rsidR="000B686C">
        <w:t>decision</w:t>
      </w:r>
      <w:r w:rsidR="00D6278E">
        <w:t xml:space="preserve">-making within </w:t>
      </w:r>
      <w:r w:rsidR="006720D2">
        <w:t>the pharmaceutical industry, hence affording a dynamic assessment</w:t>
      </w:r>
      <w:r w:rsidR="006F2FB7">
        <w:t>.</w:t>
      </w:r>
      <w:r w:rsidR="002F0C29">
        <w:t xml:space="preserve"> Finally, it </w:t>
      </w:r>
      <w:r w:rsidR="006F2FB7" w:rsidRPr="004C5A19">
        <w:t>aligns with previous work we conducted on the topic</w:t>
      </w:r>
      <w:r w:rsidR="00C468B8">
        <w:rPr>
          <w:rStyle w:val="Refdenotaalpie"/>
        </w:rPr>
        <w:footnoteReference w:id="7"/>
      </w:r>
      <w:r w:rsidR="00C468B8">
        <w:rPr>
          <w:vertAlign w:val="superscript"/>
        </w:rPr>
        <w:t>,</w:t>
      </w:r>
      <w:r w:rsidR="00C468B8">
        <w:rPr>
          <w:rStyle w:val="Refdenotaalpie"/>
        </w:rPr>
        <w:footnoteReference w:id="8"/>
      </w:r>
      <w:r w:rsidR="00C468B8">
        <w:t>, as well as other studies on similar topics</w:t>
      </w:r>
      <w:r w:rsidR="00C468B8">
        <w:rPr>
          <w:rStyle w:val="Refdenotaalpie"/>
        </w:rPr>
        <w:footnoteReference w:id="9"/>
      </w:r>
      <w:r w:rsidR="006F2FB7" w:rsidRPr="004C5A19">
        <w:t xml:space="preserve">. </w:t>
      </w:r>
    </w:p>
    <w:p w14:paraId="5DEB06A1" w14:textId="7A43F807" w:rsidR="00230C61" w:rsidRDefault="008C3E4A" w:rsidP="00EF54C3">
      <w:pPr>
        <w:spacing w:after="0"/>
        <w:jc w:val="both"/>
      </w:pPr>
      <w:r>
        <w:t xml:space="preserve">Two </w:t>
      </w:r>
      <w:r w:rsidR="005A354C">
        <w:t>variations of the r</w:t>
      </w:r>
      <w:r>
        <w:t xml:space="preserve">NPV model </w:t>
      </w:r>
      <w:r w:rsidR="00230C61">
        <w:t>are</w:t>
      </w:r>
      <w:r>
        <w:t xml:space="preserve"> </w:t>
      </w:r>
      <w:r w:rsidR="00EF54C3">
        <w:t>used</w:t>
      </w:r>
      <w:r>
        <w:t xml:space="preserve"> </w:t>
      </w:r>
      <w:r w:rsidR="008B7134">
        <w:t>and further described in subsequent sub-sections</w:t>
      </w:r>
      <w:r w:rsidR="00460441">
        <w:t>.</w:t>
      </w:r>
    </w:p>
    <w:p w14:paraId="44D72558" w14:textId="20A0612D" w:rsidR="00C245AC" w:rsidRDefault="00230C61" w:rsidP="00B50D05">
      <w:pPr>
        <w:pStyle w:val="Prrafodelista"/>
        <w:numPr>
          <w:ilvl w:val="0"/>
          <w:numId w:val="11"/>
        </w:numPr>
        <w:jc w:val="both"/>
      </w:pPr>
      <w:r>
        <w:t>T</w:t>
      </w:r>
      <w:r w:rsidR="00BB1302">
        <w:t>he first</w:t>
      </w:r>
      <w:r w:rsidR="001C3B74">
        <w:t xml:space="preserve"> variation</w:t>
      </w:r>
      <w:r w:rsidR="008C3E4A">
        <w:t xml:space="preserve"> model</w:t>
      </w:r>
      <w:r>
        <w:t>s</w:t>
      </w:r>
      <w:r w:rsidR="008C3E4A">
        <w:t xml:space="preserve"> the </w:t>
      </w:r>
      <w:r w:rsidR="008C3E4A" w:rsidRPr="00C245AC">
        <w:rPr>
          <w:b/>
          <w:bCs/>
        </w:rPr>
        <w:t>impact</w:t>
      </w:r>
      <w:r w:rsidR="00BB1302" w:rsidRPr="00C245AC">
        <w:rPr>
          <w:b/>
          <w:bCs/>
        </w:rPr>
        <w:t xml:space="preserve"> </w:t>
      </w:r>
      <w:r w:rsidR="008C3E4A" w:rsidRPr="00C245AC">
        <w:rPr>
          <w:b/>
          <w:bCs/>
        </w:rPr>
        <w:t>on innovation</w:t>
      </w:r>
      <w:r w:rsidR="005A354C">
        <w:t xml:space="preserve"> by considering the </w:t>
      </w:r>
      <w:r w:rsidR="004C7D17">
        <w:t>investment proposition at the time o</w:t>
      </w:r>
      <w:r w:rsidR="00C245AC">
        <w:t>f initiation of clinical development</w:t>
      </w:r>
      <w:r w:rsidR="00460441">
        <w:t xml:space="preserve">. </w:t>
      </w:r>
    </w:p>
    <w:p w14:paraId="61485D6A" w14:textId="43BCBCAF" w:rsidR="00E7436D" w:rsidRDefault="00C245AC" w:rsidP="00B50D05">
      <w:pPr>
        <w:pStyle w:val="Prrafodelista"/>
        <w:numPr>
          <w:ilvl w:val="0"/>
          <w:numId w:val="11"/>
        </w:numPr>
        <w:jc w:val="both"/>
      </w:pPr>
      <w:r>
        <w:t xml:space="preserve">The second </w:t>
      </w:r>
      <w:r w:rsidR="001C3B74">
        <w:t xml:space="preserve">variation </w:t>
      </w:r>
      <w:r w:rsidR="008C3E4A">
        <w:t>model</w:t>
      </w:r>
      <w:r>
        <w:t xml:space="preserve">s </w:t>
      </w:r>
      <w:r w:rsidR="008C3E4A">
        <w:t xml:space="preserve">the </w:t>
      </w:r>
      <w:r w:rsidR="008C3E4A" w:rsidRPr="00C245AC">
        <w:rPr>
          <w:b/>
          <w:bCs/>
        </w:rPr>
        <w:t xml:space="preserve">impact on access </w:t>
      </w:r>
      <w:r>
        <w:t xml:space="preserve">by </w:t>
      </w:r>
      <w:r w:rsidR="00E7436D">
        <w:t>assessing the economic case for launch across Member States at the time of marketing authorisation.</w:t>
      </w:r>
    </w:p>
    <w:p w14:paraId="77B3089C" w14:textId="6AB554E7" w:rsidR="00106618" w:rsidRPr="00271541" w:rsidRDefault="00EB73A9" w:rsidP="00191FE2">
      <w:pPr>
        <w:pStyle w:val="Ttulo2"/>
      </w:pPr>
      <w:r>
        <w:lastRenderedPageBreak/>
        <w:t xml:space="preserve">Impact on </w:t>
      </w:r>
      <w:r w:rsidR="00F579FF">
        <w:t>innovation</w:t>
      </w:r>
      <w:r w:rsidR="00C90FAE">
        <w:t>. W</w:t>
      </w:r>
      <w:r w:rsidR="00106618" w:rsidRPr="00271541">
        <w:t xml:space="preserve">e </w:t>
      </w:r>
      <w:r w:rsidR="00137384">
        <w:t>estimate</w:t>
      </w:r>
      <w:r w:rsidR="00A53CB6">
        <w:t xml:space="preserve"> the impact </w:t>
      </w:r>
      <w:r w:rsidR="0002235F">
        <w:t xml:space="preserve">on innovation </w:t>
      </w:r>
      <w:r w:rsidR="00F853E5">
        <w:t xml:space="preserve">of proposed changes </w:t>
      </w:r>
      <w:r w:rsidR="00106618" w:rsidRPr="00271541">
        <w:t xml:space="preserve">for the average medicine relying on RDP as the last form of IP protection in </w:t>
      </w:r>
      <w:proofErr w:type="gramStart"/>
      <w:r w:rsidR="00106618" w:rsidRPr="00271541">
        <w:t>Europe</w:t>
      </w:r>
      <w:proofErr w:type="gramEnd"/>
    </w:p>
    <w:p w14:paraId="0C2801B5" w14:textId="31EFBEB6" w:rsidR="00E10C05" w:rsidRPr="00E10C05" w:rsidRDefault="00D62BC9" w:rsidP="00973E36">
      <w:pPr>
        <w:jc w:val="both"/>
      </w:pPr>
      <w:r>
        <w:t>The first variation of the</w:t>
      </w:r>
      <w:r w:rsidR="00106618" w:rsidRPr="004C5A19">
        <w:t xml:space="preserve"> model </w:t>
      </w:r>
      <w:r w:rsidR="0045757F">
        <w:t xml:space="preserve">helps </w:t>
      </w:r>
      <w:r w:rsidR="00106618" w:rsidRPr="004C5A19">
        <w:t>quantitative</w:t>
      </w:r>
      <w:r w:rsidR="00E647F5">
        <w:t>ly</w:t>
      </w:r>
      <w:r w:rsidR="00106618" w:rsidRPr="004C5A19">
        <w:t xml:space="preserve"> assess the impact </w:t>
      </w:r>
      <w:r w:rsidR="00A553AB">
        <w:t>on inn</w:t>
      </w:r>
      <w:r w:rsidR="00B96491">
        <w:t>ovation of key legislative changes proposed by the Commission and EFPIA</w:t>
      </w:r>
      <w:r w:rsidR="00106618" w:rsidRPr="004C5A19">
        <w:t>.</w:t>
      </w:r>
      <w:r w:rsidR="00E66880">
        <w:t xml:space="preserve"> </w:t>
      </w:r>
      <w:r w:rsidR="00E10C05">
        <w:t xml:space="preserve">As stated above, its computes the investment proposition at the start </w:t>
      </w:r>
      <w:r w:rsidR="00E10C05" w:rsidRPr="002E64AE">
        <w:t xml:space="preserve">of </w:t>
      </w:r>
      <w:r w:rsidR="002E64AE" w:rsidRPr="00D71DFE">
        <w:t>p</w:t>
      </w:r>
      <w:r w:rsidR="00E10C05" w:rsidRPr="002E64AE">
        <w:t>hase I</w:t>
      </w:r>
      <w:r w:rsidR="00E10C05">
        <w:t xml:space="preserve"> of R&amp;D.</w:t>
      </w:r>
    </w:p>
    <w:p w14:paraId="00463E06" w14:textId="55741C11" w:rsidR="00D122A0" w:rsidRDefault="00F44A67" w:rsidP="00973E36">
      <w:pPr>
        <w:jc w:val="both"/>
      </w:pPr>
      <w:r>
        <w:t>Importantly, t</w:t>
      </w:r>
      <w:r w:rsidR="000677F8">
        <w:t xml:space="preserve">his model focuses </w:t>
      </w:r>
      <w:r w:rsidR="00C419C9">
        <w:t xml:space="preserve">solely on the cohort of products which </w:t>
      </w:r>
      <w:r w:rsidR="00E047F9">
        <w:t xml:space="preserve">rely </w:t>
      </w:r>
      <w:r w:rsidR="00C419C9">
        <w:t>on RDP</w:t>
      </w:r>
      <w:r w:rsidR="00043A62">
        <w:t xml:space="preserve"> as their last form of IP protection</w:t>
      </w:r>
      <w:r w:rsidR="00CF4530">
        <w:rPr>
          <w:rStyle w:val="Refdenotaalpie"/>
        </w:rPr>
        <w:footnoteReference w:id="10"/>
      </w:r>
      <w:r w:rsidR="00043A62">
        <w:t xml:space="preserve"> (</w:t>
      </w:r>
      <w:r w:rsidR="00B401BA">
        <w:t>henceforth ‘RDP products’; this cohort</w:t>
      </w:r>
      <w:r w:rsidR="00043A62">
        <w:t xml:space="preserve"> represents a third of all approved products</w:t>
      </w:r>
      <w:r w:rsidR="001178BB">
        <w:rPr>
          <w:rStyle w:val="Refdenotaalpie"/>
        </w:rPr>
        <w:footnoteReference w:id="11"/>
      </w:r>
      <w:r w:rsidR="00043A62">
        <w:t>)</w:t>
      </w:r>
      <w:r w:rsidR="005603CB">
        <w:t>, so that we best isolate the effect of</w:t>
      </w:r>
      <w:r w:rsidR="00F878E6">
        <w:t xml:space="preserve"> RDP modulation</w:t>
      </w:r>
      <w:r w:rsidR="00BD3DA4">
        <w:t>.</w:t>
      </w:r>
      <w:r w:rsidR="00C419C9">
        <w:t xml:space="preserve"> </w:t>
      </w:r>
      <w:r w:rsidR="0015621E">
        <w:t xml:space="preserve">This </w:t>
      </w:r>
      <w:r w:rsidR="00FD0811">
        <w:t>also aligns with the scope of</w:t>
      </w:r>
      <w:r w:rsidR="00727D92">
        <w:t xml:space="preserve"> Technopolis</w:t>
      </w:r>
      <w:r w:rsidR="009D410A">
        <w:t>’</w:t>
      </w:r>
      <w:r w:rsidR="00FD0811">
        <w:t xml:space="preserve"> analyses.</w:t>
      </w:r>
      <w:r w:rsidR="005F5B55">
        <w:t xml:space="preserve"> Equally importantly, </w:t>
      </w:r>
      <w:r w:rsidR="005F5B55" w:rsidRPr="00AD7BE6">
        <w:t>the model’s geographic scope is Europe, to best align with the reach of the legislative provisions considered. In practice, this means that we only include revenue generated and costs incurred in Europe in the model.</w:t>
      </w:r>
    </w:p>
    <w:p w14:paraId="66F1B68B" w14:textId="50AF069F" w:rsidR="00E5408A" w:rsidRDefault="008B7134" w:rsidP="00E5408A">
      <w:pPr>
        <w:jc w:val="both"/>
      </w:pPr>
      <w:r w:rsidRPr="00DC5680">
        <w:t>Inputs for the models come from a mix of sources</w:t>
      </w:r>
      <w:r>
        <w:t xml:space="preserve">, including Technopolis’ Impact Assessment, the published academic literature and EFPIA resources (which do </w:t>
      </w:r>
      <w:r>
        <w:rPr>
          <w:u w:val="single"/>
        </w:rPr>
        <w:t>not</w:t>
      </w:r>
      <w:r>
        <w:t xml:space="preserve"> include product-specific or confidential data). Where publicly available evidence is not available, assumptions are made based on Dolon expertise and validated with EFPIA Members. </w:t>
      </w:r>
    </w:p>
    <w:p w14:paraId="46EA88A3" w14:textId="372ACF8E" w:rsidR="008B7134" w:rsidRDefault="00E5408A" w:rsidP="008B7134">
      <w:pPr>
        <w:jc w:val="both"/>
      </w:pPr>
      <w:r>
        <w:t>W</w:t>
      </w:r>
      <w:r w:rsidRPr="00A40541">
        <w:t xml:space="preserve">e superimpose a Monte Carlo simulation onto the rNPV model to best represent the significant heterogeneity of pharmaceutical development and revenue. Put simply, the Monte Carlo simulation samples values around the inputted average based on a prespecified distribution and variance. We run 10,000 iterations of the model (i.e., consider 10,000 hypothetical investment cases) and use as outputs the average rNPV across </w:t>
      </w:r>
      <w:proofErr w:type="gramStart"/>
      <w:r w:rsidRPr="00A40541">
        <w:t xml:space="preserve">all </w:t>
      </w:r>
      <w:r w:rsidR="009D410A">
        <w:t>of</w:t>
      </w:r>
      <w:proofErr w:type="gramEnd"/>
      <w:r w:rsidR="009D410A">
        <w:t xml:space="preserve"> </w:t>
      </w:r>
      <w:r w:rsidRPr="00A40541">
        <w:t>these iterations and share of iterations with positive rNPV.</w:t>
      </w:r>
      <w:r>
        <w:t xml:space="preserve"> Please refer to our past publication for a full description of model specifications</w:t>
      </w:r>
      <w:r>
        <w:rPr>
          <w:rStyle w:val="Refdenotaalpie"/>
        </w:rPr>
        <w:footnoteReference w:id="12"/>
      </w:r>
      <w:r>
        <w:t>.</w:t>
      </w:r>
    </w:p>
    <w:p w14:paraId="3F94F43D" w14:textId="0DD09B18" w:rsidR="005F5B55" w:rsidRDefault="005F5B55" w:rsidP="005F5B55">
      <w:pPr>
        <w:spacing w:after="0"/>
        <w:jc w:val="both"/>
      </w:pPr>
      <w:r>
        <w:t xml:space="preserve">We </w:t>
      </w:r>
      <w:r w:rsidR="00E10C05">
        <w:t>use</w:t>
      </w:r>
      <w:r w:rsidR="000A27D5">
        <w:t xml:space="preserve"> this</w:t>
      </w:r>
      <w:r w:rsidR="00DD1A9A">
        <w:t xml:space="preserve"> </w:t>
      </w:r>
      <w:r w:rsidR="000A27D5">
        <w:t xml:space="preserve">model </w:t>
      </w:r>
      <w:r w:rsidR="00DD1A9A">
        <w:t>in multiple analyses</w:t>
      </w:r>
      <w:r>
        <w:t xml:space="preserve"> (which are further described below)</w:t>
      </w:r>
      <w:r w:rsidR="00DD1A9A">
        <w:t>.</w:t>
      </w:r>
    </w:p>
    <w:p w14:paraId="506A9C44" w14:textId="3F0A4B51" w:rsidR="005F5B55" w:rsidRDefault="00DD1A9A" w:rsidP="00B50D05">
      <w:pPr>
        <w:pStyle w:val="Prrafodelista"/>
        <w:numPr>
          <w:ilvl w:val="0"/>
          <w:numId w:val="12"/>
        </w:numPr>
        <w:jc w:val="both"/>
      </w:pPr>
      <w:r>
        <w:t>First, we estimate the impact of Commission and EFPIA proposals</w:t>
      </w:r>
      <w:r w:rsidR="003047AC">
        <w:t xml:space="preserve"> (relative to regulatory processes, </w:t>
      </w:r>
      <w:proofErr w:type="gramStart"/>
      <w:r w:rsidR="003047AC">
        <w:t>RDP</w:t>
      </w:r>
      <w:proofErr w:type="gramEnd"/>
      <w:r w:rsidR="003047AC">
        <w:t xml:space="preserve"> and access)</w:t>
      </w:r>
      <w:r>
        <w:t xml:space="preserve"> on incentives for innovation </w:t>
      </w:r>
      <w:r w:rsidR="00C22F0A">
        <w:t>in Europe,</w:t>
      </w:r>
      <w:r>
        <w:t xml:space="preserve"> compared to t</w:t>
      </w:r>
      <w:r w:rsidR="005F5B55">
        <w:t>he</w:t>
      </w:r>
      <w:r>
        <w:t xml:space="preserve"> current ecosystem.</w:t>
      </w:r>
      <w:r w:rsidR="005F5B55">
        <w:t xml:space="preserve"> </w:t>
      </w:r>
    </w:p>
    <w:p w14:paraId="0816DE61" w14:textId="3C2FACDF" w:rsidR="00DD1A9A" w:rsidRPr="00DD1A9A" w:rsidRDefault="00DD1A9A" w:rsidP="00B50D05">
      <w:pPr>
        <w:pStyle w:val="Prrafodelista"/>
        <w:numPr>
          <w:ilvl w:val="0"/>
          <w:numId w:val="12"/>
        </w:numPr>
        <w:jc w:val="both"/>
      </w:pPr>
      <w:r>
        <w:t xml:space="preserve">Second, we extrapolate from these results the implications of </w:t>
      </w:r>
      <w:r w:rsidR="00C22F0A">
        <w:t>Commission proposals</w:t>
      </w:r>
      <w:r>
        <w:t xml:space="preserve"> on Europe’s place within global innovation.</w:t>
      </w:r>
    </w:p>
    <w:p w14:paraId="2E028CE0" w14:textId="728E852B" w:rsidR="00DD1A9A" w:rsidRPr="00DD1A9A" w:rsidRDefault="00DD1A9A" w:rsidP="00B50D05">
      <w:pPr>
        <w:pStyle w:val="Prrafodelista"/>
        <w:numPr>
          <w:ilvl w:val="0"/>
          <w:numId w:val="12"/>
        </w:numPr>
        <w:jc w:val="both"/>
      </w:pPr>
      <w:r w:rsidRPr="00DD1A9A">
        <w:t>Third</w:t>
      </w:r>
      <w:r>
        <w:t xml:space="preserve">, we consider specificities of </w:t>
      </w:r>
      <w:r w:rsidRPr="00DD1A9A">
        <w:t>SMEs</w:t>
      </w:r>
      <w:r>
        <w:t xml:space="preserve"> to differentiate the impact of Commission proposals by the </w:t>
      </w:r>
      <w:r w:rsidR="1B7A3736">
        <w:t>size</w:t>
      </w:r>
      <w:r>
        <w:t xml:space="preserve"> of company.</w:t>
      </w:r>
    </w:p>
    <w:p w14:paraId="7DE5BA05" w14:textId="76780A83" w:rsidR="00DD1A9A" w:rsidRDefault="00DD1A9A" w:rsidP="00B50D05">
      <w:pPr>
        <w:pStyle w:val="Prrafodelista"/>
        <w:numPr>
          <w:ilvl w:val="0"/>
          <w:numId w:val="12"/>
        </w:numPr>
        <w:jc w:val="both"/>
      </w:pPr>
      <w:r>
        <w:t>Fourth</w:t>
      </w:r>
      <w:r w:rsidRPr="00DD1A9A">
        <w:t>,</w:t>
      </w:r>
      <w:r>
        <w:t xml:space="preserve"> we </w:t>
      </w:r>
      <w:r w:rsidR="003047AC">
        <w:t>add in</w:t>
      </w:r>
      <w:r>
        <w:t xml:space="preserve"> the</w:t>
      </w:r>
      <w:r w:rsidR="003047AC">
        <w:t xml:space="preserve"> potential</w:t>
      </w:r>
      <w:r>
        <w:t xml:space="preserve"> impact of </w:t>
      </w:r>
      <w:r w:rsidR="003047AC">
        <w:t>links to environmental regulations.</w:t>
      </w:r>
    </w:p>
    <w:p w14:paraId="4E1E9176" w14:textId="33A6D05C" w:rsidR="00143750" w:rsidRDefault="00143750" w:rsidP="00C90FAE">
      <w:pPr>
        <w:pStyle w:val="Ttulo3"/>
      </w:pPr>
      <w:r>
        <w:t>EU innovation</w:t>
      </w:r>
      <w:r w:rsidR="00311690">
        <w:t>.</w:t>
      </w:r>
      <w:r w:rsidR="0064746F">
        <w:t xml:space="preserve"> We estimate the impact of Commission and EFPIA proposals on incentives for innovation within </w:t>
      </w:r>
      <w:proofErr w:type="gramStart"/>
      <w:r w:rsidR="0064746F">
        <w:t>E</w:t>
      </w:r>
      <w:r w:rsidR="00A304BD">
        <w:t>urope</w:t>
      </w:r>
      <w:proofErr w:type="gramEnd"/>
      <w:r w:rsidR="0064746F">
        <w:t xml:space="preserve"> </w:t>
      </w:r>
    </w:p>
    <w:p w14:paraId="3126513F" w14:textId="74C8ECF4" w:rsidR="00DD1A9A" w:rsidRDefault="007E3021" w:rsidP="007E3021">
      <w:pPr>
        <w:jc w:val="both"/>
      </w:pPr>
      <w:r>
        <w:t xml:space="preserve">To estimate the impact of legislative proposals, we vary modelling inputs to reflect the current </w:t>
      </w:r>
      <w:r w:rsidR="00EF0A21">
        <w:t>situation</w:t>
      </w:r>
      <w:r>
        <w:t xml:space="preserve"> (‘base case’), </w:t>
      </w:r>
      <w:r w:rsidR="00DD1A9A">
        <w:t>Commission proposals</w:t>
      </w:r>
      <w:r>
        <w:t xml:space="preserve"> and EFPIA</w:t>
      </w:r>
      <w:r w:rsidR="00A304BD">
        <w:t xml:space="preserve"> counterproposals.</w:t>
      </w:r>
      <w:r w:rsidR="00DB1E87">
        <w:t xml:space="preserve"> The appendix provides a summary of key input parameters considered</w:t>
      </w:r>
      <w:r w:rsidR="007F7D98">
        <w:t xml:space="preserve"> in the analyses</w:t>
      </w:r>
      <w:r w:rsidR="00DB1E87">
        <w:t>.</w:t>
      </w:r>
    </w:p>
    <w:p w14:paraId="0BE774C6" w14:textId="30823F67" w:rsidR="009F1F78" w:rsidRPr="00EE5335" w:rsidRDefault="00EE5335" w:rsidP="00EE5335">
      <w:pPr>
        <w:pStyle w:val="Ttulo4"/>
      </w:pPr>
      <w:r>
        <w:lastRenderedPageBreak/>
        <w:t xml:space="preserve">Current situation. </w:t>
      </w:r>
      <w:r w:rsidR="00801721" w:rsidRPr="00EE5335">
        <w:t xml:space="preserve">The base case represents the status quo </w:t>
      </w:r>
      <w:r w:rsidR="00D208AF" w:rsidRPr="00EE5335">
        <w:t xml:space="preserve">(i.e., incentives provided </w:t>
      </w:r>
      <w:r w:rsidR="00EF0A21">
        <w:t>within</w:t>
      </w:r>
      <w:r w:rsidR="00D208AF" w:rsidRPr="00EE5335">
        <w:t xml:space="preserve"> the current </w:t>
      </w:r>
      <w:r w:rsidR="00EA42AF" w:rsidRPr="00EE5335">
        <w:t xml:space="preserve">legislative </w:t>
      </w:r>
      <w:r w:rsidR="00D208AF" w:rsidRPr="00EE5335">
        <w:t xml:space="preserve">package) for products which rely on RDP as their last form of </w:t>
      </w:r>
      <w:proofErr w:type="gramStart"/>
      <w:r w:rsidR="00D208AF" w:rsidRPr="00EE5335">
        <w:t>protection</w:t>
      </w:r>
      <w:proofErr w:type="gramEnd"/>
    </w:p>
    <w:p w14:paraId="30274149" w14:textId="17D00534" w:rsidR="00E36688" w:rsidRPr="00DB1E87" w:rsidRDefault="00D85463" w:rsidP="00E36688">
      <w:pPr>
        <w:jc w:val="both"/>
      </w:pPr>
      <w:r>
        <w:t xml:space="preserve">Input parameters are selected to reflect the current </w:t>
      </w:r>
      <w:r w:rsidR="009637DA">
        <w:t>investment proposition</w:t>
      </w:r>
      <w:r w:rsidR="00043A62">
        <w:t xml:space="preserve"> </w:t>
      </w:r>
      <w:r w:rsidR="003C322E">
        <w:t xml:space="preserve">for RDP </w:t>
      </w:r>
      <w:r w:rsidR="00043A62">
        <w:t>products</w:t>
      </w:r>
      <w:r w:rsidR="008E1650">
        <w:t xml:space="preserve"> (see appendix I for full inputs specification)</w:t>
      </w:r>
      <w:r w:rsidR="009637DA" w:rsidRPr="00AD7BE6">
        <w:t>.</w:t>
      </w:r>
      <w:r w:rsidR="0017227F" w:rsidRPr="00AD7BE6">
        <w:t xml:space="preserve"> </w:t>
      </w:r>
    </w:p>
    <w:p w14:paraId="5846BA87" w14:textId="6097B8C8" w:rsidR="00101D86" w:rsidRDefault="009637DA" w:rsidP="0028458F">
      <w:pPr>
        <w:jc w:val="both"/>
      </w:pPr>
      <w:r>
        <w:rPr>
          <w:b/>
          <w:bCs/>
        </w:rPr>
        <w:t>Revenue.</w:t>
      </w:r>
      <w:r w:rsidR="00D520B6">
        <w:rPr>
          <w:b/>
          <w:bCs/>
        </w:rPr>
        <w:t xml:space="preserve"> </w:t>
      </w:r>
      <w:r w:rsidR="00D520B6">
        <w:t xml:space="preserve">We leverage the </w:t>
      </w:r>
      <w:r w:rsidR="00024A3E">
        <w:t>revenue curve for ‘archetypal’ RDP products reported by Technopolis</w:t>
      </w:r>
      <w:r w:rsidR="00607CC2">
        <w:t xml:space="preserve">, which suggests peak European sales of </w:t>
      </w:r>
      <w:r w:rsidR="00607CC2">
        <w:rPr>
          <w:rFonts w:cs="Arial"/>
        </w:rPr>
        <w:t>€</w:t>
      </w:r>
      <w:r w:rsidR="008C4D27">
        <w:t>158.7</w:t>
      </w:r>
      <w:r w:rsidR="00607CC2">
        <w:t xml:space="preserve"> million, reached the year prior to loss of exclusivity</w:t>
      </w:r>
      <w:r w:rsidR="00B45F7D">
        <w:rPr>
          <w:rStyle w:val="Refdenotaalpie"/>
        </w:rPr>
        <w:footnoteReference w:id="13"/>
      </w:r>
      <w:r w:rsidR="008C4D27">
        <w:t>.</w:t>
      </w:r>
      <w:r w:rsidR="00B45F7D">
        <w:t xml:space="preserve"> </w:t>
      </w:r>
      <w:r>
        <w:t>A</w:t>
      </w:r>
      <w:r w:rsidR="0087158E">
        <w:t>verage duration</w:t>
      </w:r>
      <w:r>
        <w:t xml:space="preserve"> of </w:t>
      </w:r>
      <w:r w:rsidR="008C4D27">
        <w:t>RDP</w:t>
      </w:r>
      <w:r w:rsidR="006E10A0">
        <w:t xml:space="preserve"> protection is set at</w:t>
      </w:r>
      <w:r w:rsidR="00805FA9">
        <w:t xml:space="preserve"> 10.1</w:t>
      </w:r>
      <w:r w:rsidR="006E10A0">
        <w:t xml:space="preserve"> years</w:t>
      </w:r>
      <w:r w:rsidR="00805FA9">
        <w:t xml:space="preserve">, </w:t>
      </w:r>
      <w:r w:rsidR="00ED1464">
        <w:t>based on</w:t>
      </w:r>
      <w:r w:rsidR="00805FA9">
        <w:t xml:space="preserve"> </w:t>
      </w:r>
      <w:r w:rsidR="006E10A0">
        <w:t>IQVIA data reported by</w:t>
      </w:r>
      <w:r w:rsidR="0087158E">
        <w:t xml:space="preserve"> </w:t>
      </w:r>
      <w:r w:rsidR="00ED1464">
        <w:t>Technopolis</w:t>
      </w:r>
      <w:r w:rsidR="00EF4D09">
        <w:rPr>
          <w:rStyle w:val="Refdenotaalpie"/>
        </w:rPr>
        <w:footnoteReference w:id="14"/>
      </w:r>
      <w:r w:rsidR="00ED1464">
        <w:t xml:space="preserve">. </w:t>
      </w:r>
      <w:r w:rsidR="006C26F3">
        <w:t xml:space="preserve">This average </w:t>
      </w:r>
      <w:r w:rsidR="00282CBF">
        <w:t>corresponds to eight</w:t>
      </w:r>
      <w:r w:rsidR="006C26F3">
        <w:t xml:space="preserve"> years of data exclusivity, </w:t>
      </w:r>
      <w:r w:rsidR="00282CBF" w:rsidRPr="00DC5680">
        <w:t>two</w:t>
      </w:r>
      <w:r w:rsidR="006C26F3" w:rsidRPr="00DC5680">
        <w:t xml:space="preserve"> years of market protection</w:t>
      </w:r>
      <w:r w:rsidR="00FF2F18" w:rsidRPr="00DC5680">
        <w:t xml:space="preserve">, and </w:t>
      </w:r>
      <w:r w:rsidR="00D705B1" w:rsidRPr="00DC5680">
        <w:t xml:space="preserve">(where obtained) </w:t>
      </w:r>
      <w:r w:rsidR="00282CBF" w:rsidRPr="00DC5680">
        <w:t>an</w:t>
      </w:r>
      <w:r w:rsidR="00FF2F18" w:rsidRPr="00DC5680">
        <w:t xml:space="preserve"> additional year </w:t>
      </w:r>
      <w:r w:rsidR="00442632" w:rsidRPr="00DC5680">
        <w:t xml:space="preserve">for </w:t>
      </w:r>
      <w:r w:rsidR="00EA359E" w:rsidRPr="00DC5680">
        <w:t xml:space="preserve">products with </w:t>
      </w:r>
      <w:r w:rsidR="00442632" w:rsidRPr="00DC5680">
        <w:t>a</w:t>
      </w:r>
      <w:r w:rsidR="00892F1F" w:rsidRPr="00DC5680">
        <w:t xml:space="preserve"> new therapeutic </w:t>
      </w:r>
      <w:r w:rsidR="00ED06AF" w:rsidRPr="00DC5680">
        <w:t xml:space="preserve">indication </w:t>
      </w:r>
      <w:r w:rsidR="00442632" w:rsidRPr="00DC5680">
        <w:t xml:space="preserve">that </w:t>
      </w:r>
      <w:r w:rsidR="00041843" w:rsidRPr="00DC5680">
        <w:t xml:space="preserve">is deemed to bring </w:t>
      </w:r>
      <w:r w:rsidR="002A557D" w:rsidRPr="00DC5680">
        <w:t>offers enhanced</w:t>
      </w:r>
      <w:r w:rsidR="00ED06AF" w:rsidRPr="00DC5680">
        <w:t xml:space="preserve"> clinical benefits </w:t>
      </w:r>
      <w:r w:rsidR="002A557D" w:rsidRPr="00DC5680">
        <w:t>over existing options</w:t>
      </w:r>
      <w:r w:rsidR="009718E7" w:rsidRPr="00DC5680">
        <w:rPr>
          <w:rStyle w:val="Refdenotaalpie"/>
        </w:rPr>
        <w:footnoteReference w:id="15"/>
      </w:r>
      <w:r w:rsidR="003D3904" w:rsidRPr="00DC5680">
        <w:t xml:space="preserve">. </w:t>
      </w:r>
      <w:r w:rsidR="00ED1464" w:rsidRPr="00DC5680">
        <w:t xml:space="preserve"> </w:t>
      </w:r>
    </w:p>
    <w:p w14:paraId="339FFF68" w14:textId="48E5BCD5" w:rsidR="00FB5B64" w:rsidRDefault="009E67C7" w:rsidP="0028458F">
      <w:pPr>
        <w:jc w:val="both"/>
      </w:pPr>
      <w:r w:rsidRPr="00F302C3">
        <w:rPr>
          <w:b/>
          <w:bCs/>
        </w:rPr>
        <w:t>Costs.</w:t>
      </w:r>
      <w:r w:rsidR="00F302C3">
        <w:t xml:space="preserve"> We consider costs of </w:t>
      </w:r>
      <w:r w:rsidR="00D71DFE">
        <w:t>p</w:t>
      </w:r>
      <w:r w:rsidR="00F302C3" w:rsidRPr="002E64AE">
        <w:t>hase I, II and III</w:t>
      </w:r>
      <w:r w:rsidR="0039474D" w:rsidRPr="002E64AE">
        <w:t xml:space="preserve"> </w:t>
      </w:r>
      <w:r w:rsidR="00BF661D" w:rsidRPr="002E64AE">
        <w:t>based</w:t>
      </w:r>
      <w:r w:rsidR="00BF661D">
        <w:t xml:space="preserve"> on the published academic literature </w:t>
      </w:r>
      <w:r w:rsidR="0039474D">
        <w:t>but</w:t>
      </w:r>
      <w:r w:rsidR="00A91B43">
        <w:t xml:space="preserve"> exclud</w:t>
      </w:r>
      <w:r w:rsidR="0039474D">
        <w:t xml:space="preserve">e </w:t>
      </w:r>
      <w:r w:rsidR="00A91B43">
        <w:t>pre</w:t>
      </w:r>
      <w:r w:rsidR="00BF661D">
        <w:t>-</w:t>
      </w:r>
      <w:r w:rsidR="00A91B43">
        <w:t xml:space="preserve">clinical </w:t>
      </w:r>
      <w:r w:rsidR="0039474D">
        <w:t>costs</w:t>
      </w:r>
      <w:r w:rsidR="00BF661D">
        <w:t xml:space="preserve"> (as our model adopts the vantage point of an investor considering investment at clinical stage). </w:t>
      </w:r>
      <w:r w:rsidR="00D926B2">
        <w:t>Costs report</w:t>
      </w:r>
      <w:r w:rsidR="00A92A4D">
        <w:t xml:space="preserve">ed by Wouters et al. </w:t>
      </w:r>
      <w:r w:rsidR="008378E8">
        <w:t xml:space="preserve">(2020) </w:t>
      </w:r>
      <w:r w:rsidR="00A92A4D">
        <w:t>are converted to euros and adjusted for inflation</w:t>
      </w:r>
      <w:r w:rsidR="008378E8">
        <w:t>.</w:t>
      </w:r>
      <w:r w:rsidR="00A92A4D">
        <w:t xml:space="preserve"> </w:t>
      </w:r>
      <w:r w:rsidR="00BF661D">
        <w:t>Out-of-pocket (i.e., neither risk-adjusted nor discounted) clinical costs amount to</w:t>
      </w:r>
      <w:r w:rsidR="008C4D27">
        <w:t xml:space="preserve"> about</w:t>
      </w:r>
      <w:r w:rsidR="00BF661D">
        <w:t xml:space="preserve"> </w:t>
      </w:r>
      <w:r w:rsidR="00C06908">
        <w:rPr>
          <w:rFonts w:cs="Arial"/>
        </w:rPr>
        <w:t>€</w:t>
      </w:r>
      <w:r w:rsidR="008C4D27">
        <w:t>450</w:t>
      </w:r>
      <w:r w:rsidR="00BF661D">
        <w:t xml:space="preserve"> million</w:t>
      </w:r>
      <w:r w:rsidR="00286CB3">
        <w:t xml:space="preserve"> globally</w:t>
      </w:r>
      <w:r w:rsidR="00EF4D09">
        <w:rPr>
          <w:rStyle w:val="Refdenotaalpie"/>
        </w:rPr>
        <w:footnoteReference w:id="16"/>
      </w:r>
      <w:r w:rsidR="00BF661D">
        <w:t>.</w:t>
      </w:r>
      <w:r w:rsidR="00A91B43">
        <w:t xml:space="preserve"> </w:t>
      </w:r>
      <w:r w:rsidR="0071531B">
        <w:t>As R&amp;D costs are global, we assign a proport</w:t>
      </w:r>
      <w:r w:rsidR="006621FF">
        <w:t xml:space="preserve">ion </w:t>
      </w:r>
      <w:r w:rsidR="00194D07">
        <w:t>to Europe</w:t>
      </w:r>
      <w:r w:rsidR="00B821BD">
        <w:t>; in the absence of specific data, this proportion is aligned with the share of</w:t>
      </w:r>
      <w:r w:rsidR="00FB5B64">
        <w:t xml:space="preserve"> Europe within</w:t>
      </w:r>
      <w:r w:rsidR="00B821BD">
        <w:t xml:space="preserve"> </w:t>
      </w:r>
      <w:r w:rsidR="00FB5B64">
        <w:t xml:space="preserve">global R&amp;D expenditure (approximated as Europe, US, </w:t>
      </w:r>
      <w:proofErr w:type="gramStart"/>
      <w:r w:rsidR="00FB5B64">
        <w:t>Japan</w:t>
      </w:r>
      <w:proofErr w:type="gramEnd"/>
      <w:r w:rsidR="00FB5B64">
        <w:t xml:space="preserve"> and China) in 2020, </w:t>
      </w:r>
      <w:r w:rsidR="00E216FA">
        <w:t>based on data reported by EFPIA</w:t>
      </w:r>
      <w:r w:rsidR="00B821BD">
        <w:t xml:space="preserve"> </w:t>
      </w:r>
      <w:r w:rsidR="00E216FA" w:rsidRPr="00FB5B64">
        <w:t>(3</w:t>
      </w:r>
      <w:r w:rsidR="008C4D27" w:rsidRPr="00FB5B64">
        <w:t>2</w:t>
      </w:r>
      <w:r w:rsidR="00E216FA">
        <w:t>%)</w:t>
      </w:r>
      <w:r w:rsidR="00EF4D09">
        <w:rPr>
          <w:rStyle w:val="Refdenotaalpie"/>
        </w:rPr>
        <w:footnoteReference w:id="17"/>
      </w:r>
      <w:r w:rsidR="00E216FA">
        <w:t>.</w:t>
      </w:r>
      <w:r w:rsidR="00E04D89">
        <w:t xml:space="preserve"> </w:t>
      </w:r>
    </w:p>
    <w:p w14:paraId="22ED0408" w14:textId="75965070" w:rsidR="00525F53" w:rsidRDefault="00D3650F" w:rsidP="0028458F">
      <w:pPr>
        <w:jc w:val="both"/>
      </w:pPr>
      <w:r>
        <w:t>Yearly c</w:t>
      </w:r>
      <w:r w:rsidR="00292439">
        <w:t>osts incurred</w:t>
      </w:r>
      <w:r>
        <w:t xml:space="preserve"> at the time of marketing authorisation and health technology assessment are set at half of annual outlays </w:t>
      </w:r>
      <w:r w:rsidRPr="002E64AE">
        <w:t xml:space="preserve">for </w:t>
      </w:r>
      <w:r w:rsidR="002E64AE" w:rsidRPr="00D71DFE">
        <w:t>p</w:t>
      </w:r>
      <w:r w:rsidRPr="002E64AE">
        <w:t>hase III</w:t>
      </w:r>
      <w:r>
        <w:t xml:space="preserve"> trials. </w:t>
      </w:r>
      <w:r w:rsidR="002A1AC1">
        <w:t xml:space="preserve">Annual R&amp;D costs post marketing authorisation are set at $1.5 million </w:t>
      </w:r>
      <w:r w:rsidR="009F74E6">
        <w:t>for Europe, in line with an assumption previously made</w:t>
      </w:r>
      <w:r w:rsidR="007B0CD2">
        <w:rPr>
          <w:rStyle w:val="Refdenotaalpie"/>
        </w:rPr>
        <w:footnoteReference w:id="18"/>
      </w:r>
      <w:r w:rsidR="009F74E6">
        <w:t xml:space="preserve">. </w:t>
      </w:r>
      <w:r w:rsidR="00525F53" w:rsidRPr="00525F53">
        <w:t xml:space="preserve">COGS and </w:t>
      </w:r>
      <w:r w:rsidR="00525F53">
        <w:t xml:space="preserve">SG&amp;A are </w:t>
      </w:r>
      <w:r w:rsidR="00923461">
        <w:t xml:space="preserve">derived from figures reported by top 20 largest pharmaceutical companies in their </w:t>
      </w:r>
      <w:r w:rsidR="00FB5B64">
        <w:t xml:space="preserve">2022 </w:t>
      </w:r>
      <w:r w:rsidR="00923461">
        <w:t>annual reports (</w:t>
      </w:r>
      <w:r w:rsidR="00FB5B64">
        <w:t>29</w:t>
      </w:r>
      <w:r w:rsidR="00923461">
        <w:t xml:space="preserve">% and </w:t>
      </w:r>
      <w:r w:rsidR="00FB5B64">
        <w:t>24</w:t>
      </w:r>
      <w:r w:rsidR="00923461">
        <w:t>% of revenue respectively).</w:t>
      </w:r>
      <w:r w:rsidR="007B02FA">
        <w:t xml:space="preserve"> </w:t>
      </w:r>
    </w:p>
    <w:p w14:paraId="6173CC7B" w14:textId="50BEBE8A" w:rsidR="006A384F" w:rsidRPr="006A384F" w:rsidRDefault="00B401BA" w:rsidP="006A384F">
      <w:pPr>
        <w:jc w:val="both"/>
      </w:pPr>
      <w:r w:rsidRPr="006A384F">
        <w:t>These data reflect costs incurred by average medicines and are not specific to</w:t>
      </w:r>
      <w:r w:rsidR="00665A23" w:rsidRPr="006A384F">
        <w:t xml:space="preserve"> RDP</w:t>
      </w:r>
      <w:r w:rsidRPr="006A384F">
        <w:t xml:space="preserve"> products. To confirm the validity of applying these figures to our cohort, we research</w:t>
      </w:r>
      <w:r w:rsidR="2E4C1FC8" w:rsidRPr="006A384F">
        <w:t>ed</w:t>
      </w:r>
      <w:r w:rsidRPr="006A384F">
        <w:t xml:space="preserve"> the characteristics of </w:t>
      </w:r>
      <w:r w:rsidR="00665A23" w:rsidRPr="006A384F">
        <w:t>RDP</w:t>
      </w:r>
      <w:r w:rsidRPr="006A384F">
        <w:t xml:space="preserve"> products, based on </w:t>
      </w:r>
      <w:r w:rsidR="00665A23" w:rsidRPr="006A384F">
        <w:t xml:space="preserve">a historical list of 37 products which saw RDP expire as their last form of IP between 2016-2021 in France, Germany, </w:t>
      </w:r>
      <w:proofErr w:type="gramStart"/>
      <w:r w:rsidR="00665A23" w:rsidRPr="006A384F">
        <w:t>Italy</w:t>
      </w:r>
      <w:proofErr w:type="gramEnd"/>
      <w:r w:rsidR="002E64AE">
        <w:t xml:space="preserve"> and</w:t>
      </w:r>
      <w:r w:rsidR="00665A23" w:rsidRPr="006A384F">
        <w:t xml:space="preserve"> Spain (as a proxy)</w:t>
      </w:r>
      <w:r w:rsidR="00C4226F">
        <w:rPr>
          <w:rStyle w:val="Refdenotaalpie"/>
        </w:rPr>
        <w:footnoteReference w:id="19"/>
      </w:r>
      <w:r w:rsidR="00665A23" w:rsidRPr="006A384F">
        <w:t xml:space="preserve">. </w:t>
      </w:r>
      <w:r w:rsidR="006A384F" w:rsidRPr="006A384F">
        <w:rPr>
          <w:lang w:val="en-US"/>
        </w:rPr>
        <w:t xml:space="preserve">We </w:t>
      </w:r>
      <w:r w:rsidR="00A304BD">
        <w:rPr>
          <w:lang w:val="en-US"/>
        </w:rPr>
        <w:t>do</w:t>
      </w:r>
      <w:r w:rsidR="006A384F" w:rsidRPr="006A384F">
        <w:rPr>
          <w:lang w:val="en-US"/>
        </w:rPr>
        <w:t xml:space="preserve"> not find evidence that RDP products have systematically different R&amp;D compared to the average medicine</w:t>
      </w:r>
      <w:r w:rsidR="00AE467F">
        <w:rPr>
          <w:lang w:val="en-US"/>
        </w:rPr>
        <w:t xml:space="preserve"> </w:t>
      </w:r>
      <w:r w:rsidR="00AE467F" w:rsidRPr="006A384F">
        <w:rPr>
          <w:lang w:val="en-US"/>
        </w:rPr>
        <w:t xml:space="preserve">(in terms of duration, </w:t>
      </w:r>
      <w:proofErr w:type="gramStart"/>
      <w:r w:rsidR="00AE467F" w:rsidRPr="006A384F">
        <w:rPr>
          <w:lang w:val="en-US"/>
        </w:rPr>
        <w:t>costs</w:t>
      </w:r>
      <w:proofErr w:type="gramEnd"/>
      <w:r w:rsidR="00AE467F" w:rsidRPr="006A384F">
        <w:rPr>
          <w:lang w:val="en-US"/>
        </w:rPr>
        <w:t xml:space="preserve"> or risk)</w:t>
      </w:r>
      <w:r w:rsidR="006A384F" w:rsidRPr="006A384F">
        <w:rPr>
          <w:lang w:val="en-US"/>
        </w:rPr>
        <w:t xml:space="preserve">, and </w:t>
      </w:r>
      <w:r w:rsidR="00AE467F">
        <w:rPr>
          <w:lang w:val="en-US"/>
        </w:rPr>
        <w:t xml:space="preserve">conclude that approximating RDP products to average products </w:t>
      </w:r>
      <w:r w:rsidR="00A304BD">
        <w:rPr>
          <w:lang w:val="en-US"/>
        </w:rPr>
        <w:t>is acceptable</w:t>
      </w:r>
      <w:r w:rsidR="00E87EFA">
        <w:rPr>
          <w:rStyle w:val="Refdenotaalpie"/>
          <w:lang w:val="en-US"/>
        </w:rPr>
        <w:footnoteReference w:id="20"/>
      </w:r>
      <w:r w:rsidR="00AE467F">
        <w:rPr>
          <w:lang w:val="en-US"/>
        </w:rPr>
        <w:t>.</w:t>
      </w:r>
    </w:p>
    <w:p w14:paraId="60D51192" w14:textId="53634695" w:rsidR="00687C99" w:rsidRPr="00227A7C" w:rsidRDefault="00687C99" w:rsidP="0028458F">
      <w:pPr>
        <w:jc w:val="both"/>
        <w:rPr>
          <w:highlight w:val="yellow"/>
        </w:rPr>
      </w:pPr>
      <w:r w:rsidRPr="00F73571">
        <w:rPr>
          <w:b/>
          <w:bCs/>
        </w:rPr>
        <w:lastRenderedPageBreak/>
        <w:t>Risk.</w:t>
      </w:r>
      <w:r w:rsidR="006051B2" w:rsidRPr="00F73571">
        <w:rPr>
          <w:b/>
          <w:bCs/>
        </w:rPr>
        <w:t xml:space="preserve"> </w:t>
      </w:r>
      <w:r w:rsidR="00493029" w:rsidRPr="00227A7C">
        <w:t xml:space="preserve">We </w:t>
      </w:r>
      <w:r w:rsidR="009B5A1B">
        <w:t>refer to</w:t>
      </w:r>
      <w:r w:rsidR="00493029" w:rsidRPr="00227A7C">
        <w:t xml:space="preserve"> the academic literature to compute the probability of success at each phase</w:t>
      </w:r>
      <w:r w:rsidR="00456D73">
        <w:t xml:space="preserve">: </w:t>
      </w:r>
      <w:r w:rsidR="00456D73" w:rsidRPr="00456D73">
        <w:t>6</w:t>
      </w:r>
      <w:r w:rsidR="00456D73">
        <w:t xml:space="preserve">6% success at phase I, </w:t>
      </w:r>
      <w:r w:rsidR="00456D73" w:rsidRPr="00456D73">
        <w:t>58</w:t>
      </w:r>
      <w:r w:rsidR="00456D73">
        <w:t>% at phase II and 59% at phase</w:t>
      </w:r>
      <w:r w:rsidR="00456D73" w:rsidRPr="00456D73">
        <w:t xml:space="preserve"> III</w:t>
      </w:r>
      <w:r w:rsidR="00171604">
        <w:rPr>
          <w:rStyle w:val="Refdenotaalpie"/>
        </w:rPr>
        <w:footnoteReference w:id="21"/>
      </w:r>
      <w:r w:rsidR="00456D73">
        <w:t>.</w:t>
      </w:r>
    </w:p>
    <w:p w14:paraId="447E521E" w14:textId="0E6276D3" w:rsidR="00687C99" w:rsidRPr="00F73571" w:rsidRDefault="00687C99" w:rsidP="0028458F">
      <w:pPr>
        <w:jc w:val="both"/>
      </w:pPr>
      <w:r w:rsidRPr="00F73571">
        <w:rPr>
          <w:b/>
          <w:bCs/>
        </w:rPr>
        <w:t>Time.</w:t>
      </w:r>
      <w:r w:rsidR="00F73571" w:rsidRPr="00F73571">
        <w:rPr>
          <w:b/>
          <w:bCs/>
        </w:rPr>
        <w:t xml:space="preserve"> </w:t>
      </w:r>
      <w:r w:rsidR="00F73571" w:rsidRPr="00F73571">
        <w:t xml:space="preserve">We </w:t>
      </w:r>
      <w:r w:rsidR="00F73571">
        <w:t>use</w:t>
      </w:r>
      <w:r w:rsidR="00BE2959">
        <w:t xml:space="preserve"> publicly available data to estimate average time from investment to patient access: </w:t>
      </w:r>
      <w:r w:rsidR="001E5841">
        <w:t xml:space="preserve">8 years from phase </w:t>
      </w:r>
      <w:r w:rsidR="009B5A1B">
        <w:t>I</w:t>
      </w:r>
      <w:r w:rsidR="0004354B">
        <w:t xml:space="preserve"> to end of phase </w:t>
      </w:r>
      <w:r w:rsidR="009B5A1B">
        <w:t>III</w:t>
      </w:r>
      <w:r w:rsidR="00AE7F63">
        <w:rPr>
          <w:rStyle w:val="Refdenotaalpie"/>
        </w:rPr>
        <w:footnoteReference w:id="22"/>
      </w:r>
      <w:r w:rsidR="0004354B">
        <w:t xml:space="preserve">, </w:t>
      </w:r>
      <w:r w:rsidR="00897F6E">
        <w:t xml:space="preserve">426 days </w:t>
      </w:r>
      <w:r w:rsidR="003B605C">
        <w:t>from EMA submission to</w:t>
      </w:r>
      <w:r w:rsidR="00E034ED">
        <w:t xml:space="preserve"> marketing authorisation</w:t>
      </w:r>
      <w:r w:rsidR="00EF4D09">
        <w:rPr>
          <w:rStyle w:val="Refdenotaalpie"/>
        </w:rPr>
        <w:footnoteReference w:id="23"/>
      </w:r>
      <w:r w:rsidR="00E034ED">
        <w:t xml:space="preserve"> and </w:t>
      </w:r>
      <w:r w:rsidR="00645576">
        <w:t>51</w:t>
      </w:r>
      <w:r w:rsidR="00EF4D09">
        <w:t>7</w:t>
      </w:r>
      <w:r w:rsidR="00645576">
        <w:t xml:space="preserve"> days </w:t>
      </w:r>
      <w:r w:rsidR="00FA2F4A">
        <w:t>from authorisation to</w:t>
      </w:r>
      <w:r w:rsidR="00C864C2">
        <w:t xml:space="preserve"> ultimate</w:t>
      </w:r>
      <w:r w:rsidR="00FA2F4A">
        <w:t xml:space="preserve"> patien</w:t>
      </w:r>
      <w:r w:rsidR="005002C6">
        <w:t>t access</w:t>
      </w:r>
      <w:r w:rsidR="00EF4D09">
        <w:rPr>
          <w:rStyle w:val="Refdenotaalpie"/>
        </w:rPr>
        <w:footnoteReference w:id="24"/>
      </w:r>
      <w:r w:rsidR="00FA2F4A">
        <w:t>.</w:t>
      </w:r>
      <w:r w:rsidR="006F28A5">
        <w:t xml:space="preserve"> Discounting is set at 10.5%, </w:t>
      </w:r>
      <w:r w:rsidR="0DB0CD92">
        <w:t xml:space="preserve">to be </w:t>
      </w:r>
      <w:r w:rsidR="006F28A5">
        <w:t>consistent with previous Dolon publications and published literature</w:t>
      </w:r>
      <w:r w:rsidR="00180A1F">
        <w:rPr>
          <w:rStyle w:val="Refdenotaalpie"/>
        </w:rPr>
        <w:footnoteReference w:id="25"/>
      </w:r>
      <w:r w:rsidR="00180A1F">
        <w:rPr>
          <w:vertAlign w:val="superscript"/>
        </w:rPr>
        <w:t>,</w:t>
      </w:r>
      <w:r w:rsidR="00180A1F">
        <w:rPr>
          <w:rStyle w:val="Refdenotaalpie"/>
        </w:rPr>
        <w:footnoteReference w:id="26"/>
      </w:r>
      <w:r w:rsidR="006F28A5">
        <w:t>.</w:t>
      </w:r>
    </w:p>
    <w:p w14:paraId="7B71676E" w14:textId="2B5E49F9" w:rsidR="0028458F" w:rsidRPr="00E46076" w:rsidRDefault="00EE5335" w:rsidP="00EE5335">
      <w:pPr>
        <w:pStyle w:val="Ttulo4"/>
      </w:pPr>
      <w:r>
        <w:t xml:space="preserve">Commission proposals. </w:t>
      </w:r>
      <w:r w:rsidR="00CA2CE1">
        <w:t>We</w:t>
      </w:r>
      <w:r w:rsidR="00E46076" w:rsidRPr="00E46076">
        <w:t xml:space="preserve"> analytically represent </w:t>
      </w:r>
      <w:r w:rsidR="00EC1880">
        <w:t xml:space="preserve">key </w:t>
      </w:r>
      <w:r w:rsidR="00E46076" w:rsidRPr="00E46076">
        <w:t xml:space="preserve">changes </w:t>
      </w:r>
      <w:r w:rsidR="00B44462">
        <w:t>(relative to regulatory approval</w:t>
      </w:r>
      <w:r w:rsidR="000308AE">
        <w:t xml:space="preserve"> and</w:t>
      </w:r>
      <w:r w:rsidR="00B44462">
        <w:t xml:space="preserve"> </w:t>
      </w:r>
      <w:r w:rsidR="00EC1880">
        <w:t xml:space="preserve">RDP modulation) </w:t>
      </w:r>
      <w:r w:rsidR="00E46076" w:rsidRPr="00E46076">
        <w:t xml:space="preserve">outlined in the Commission’s </w:t>
      </w:r>
      <w:proofErr w:type="gramStart"/>
      <w:r w:rsidR="00E46076" w:rsidRPr="00E46076">
        <w:t>proposal</w:t>
      </w:r>
      <w:proofErr w:type="gramEnd"/>
    </w:p>
    <w:p w14:paraId="15887C48" w14:textId="11DA09DE" w:rsidR="00880474" w:rsidRDefault="00AE7F63" w:rsidP="00475D33">
      <w:pPr>
        <w:jc w:val="both"/>
      </w:pPr>
      <w:r>
        <w:t>This scenario</w:t>
      </w:r>
      <w:r w:rsidR="00166B9C">
        <w:t xml:space="preserve"> reflect</w:t>
      </w:r>
      <w:r w:rsidR="005B17B6">
        <w:t>s</w:t>
      </w:r>
      <w:r w:rsidR="00166B9C">
        <w:t xml:space="preserve"> </w:t>
      </w:r>
      <w:r w:rsidR="00421374">
        <w:t xml:space="preserve">changes to revenue, costs, </w:t>
      </w:r>
      <w:proofErr w:type="gramStart"/>
      <w:r w:rsidR="00421374">
        <w:t>risk</w:t>
      </w:r>
      <w:proofErr w:type="gramEnd"/>
      <w:r w:rsidR="00421374">
        <w:t xml:space="preserve"> and time induced by</w:t>
      </w:r>
      <w:r w:rsidR="00106618" w:rsidRPr="004C5A19">
        <w:t xml:space="preserve"> key </w:t>
      </w:r>
      <w:r w:rsidR="00880474">
        <w:t>legislative</w:t>
      </w:r>
      <w:r w:rsidR="00106618" w:rsidRPr="004C5A19">
        <w:t xml:space="preserve"> </w:t>
      </w:r>
      <w:r w:rsidR="00880474">
        <w:t>provisions</w:t>
      </w:r>
      <w:r w:rsidR="00AD3876">
        <w:t xml:space="preserve"> proposed by the Commission</w:t>
      </w:r>
      <w:r w:rsidR="00880474">
        <w:t>. Commission proposals of interest include</w:t>
      </w:r>
      <w:r w:rsidR="00492A77">
        <w:t xml:space="preserve"> those related to </w:t>
      </w:r>
      <w:r w:rsidR="00E12DFB">
        <w:t xml:space="preserve">regulatory </w:t>
      </w:r>
      <w:r w:rsidR="00492A77">
        <w:t>approval</w:t>
      </w:r>
      <w:r>
        <w:t xml:space="preserve"> and</w:t>
      </w:r>
      <w:r w:rsidR="00492A77">
        <w:t xml:space="preserve"> modulation of RDP</w:t>
      </w:r>
      <w:r>
        <w:t xml:space="preserve"> (including according to the unmet medical need definition and access conditionality)</w:t>
      </w:r>
      <w:r w:rsidR="00492A77">
        <w:t>.</w:t>
      </w:r>
      <w:r w:rsidR="008E1650">
        <w:t xml:space="preserve"> Appendix II presents all input parameters amended compared to the current situation.</w:t>
      </w:r>
      <w:r w:rsidR="00CA2CE1">
        <w:t xml:space="preserve"> Note that we do not consider links to environmental regulations here, but do so in a subsequent, separate analysis.</w:t>
      </w:r>
    </w:p>
    <w:p w14:paraId="53230B7F" w14:textId="716912BE" w:rsidR="00880474" w:rsidRDefault="00E12DFB" w:rsidP="00475D33">
      <w:pPr>
        <w:jc w:val="both"/>
      </w:pPr>
      <w:r w:rsidRPr="00E12DFB">
        <w:rPr>
          <w:b/>
          <w:bCs/>
        </w:rPr>
        <w:t>R</w:t>
      </w:r>
      <w:r w:rsidR="00880474" w:rsidRPr="00E12DFB">
        <w:rPr>
          <w:b/>
          <w:bCs/>
        </w:rPr>
        <w:t>egulatory approval</w:t>
      </w:r>
      <w:r w:rsidRPr="00E12DFB">
        <w:rPr>
          <w:b/>
          <w:bCs/>
        </w:rPr>
        <w:t xml:space="preserve">. </w:t>
      </w:r>
      <w:r>
        <w:t>The Commission propose</w:t>
      </w:r>
      <w:r w:rsidR="008253CA">
        <w:t>s</w:t>
      </w:r>
      <w:r>
        <w:t xml:space="preserve"> to </w:t>
      </w:r>
      <w:r w:rsidR="00880474">
        <w:t>expedite</w:t>
      </w:r>
      <w:r>
        <w:t xml:space="preserve"> the </w:t>
      </w:r>
      <w:r w:rsidR="00E87EFA">
        <w:t xml:space="preserve">standard </w:t>
      </w:r>
      <w:r>
        <w:t xml:space="preserve">marketing authorisation </w:t>
      </w:r>
      <w:r w:rsidR="00880474">
        <w:t>proce</w:t>
      </w:r>
      <w:r>
        <w:t>dure</w:t>
      </w:r>
      <w:r w:rsidR="00E87EFA">
        <w:rPr>
          <w:rStyle w:val="Refdenotaalpie"/>
        </w:rPr>
        <w:footnoteReference w:id="27"/>
      </w:r>
      <w:r w:rsidR="004A3CC9">
        <w:t xml:space="preserve">. However, because gains in speed to approval are likely to be counteracted by increased ERA demands, we do not alter the time from </w:t>
      </w:r>
      <w:r w:rsidR="00056807">
        <w:t>submission</w:t>
      </w:r>
      <w:r w:rsidR="004A3CC9">
        <w:t xml:space="preserve"> to marketing authorisation.</w:t>
      </w:r>
      <w:r>
        <w:t xml:space="preserve"> </w:t>
      </w:r>
      <w:r w:rsidR="004A3CC9">
        <w:t xml:space="preserve">The </w:t>
      </w:r>
      <w:r w:rsidR="004A3CC9" w:rsidRPr="004A3CC9">
        <w:t>Commission has also proposed to</w:t>
      </w:r>
      <w:r w:rsidRPr="004A3CC9">
        <w:t xml:space="preserve"> </w:t>
      </w:r>
      <w:r w:rsidR="004A3CC9" w:rsidRPr="004A3CC9">
        <w:t>bolster</w:t>
      </w:r>
      <w:r w:rsidRPr="004A3CC9">
        <w:t xml:space="preserve"> the</w:t>
      </w:r>
      <w:r w:rsidR="00880474" w:rsidRPr="004A3CC9">
        <w:t xml:space="preserve"> use of PRIME</w:t>
      </w:r>
      <w:r w:rsidR="004A3CC9" w:rsidRPr="004A3CC9">
        <w:t>, which we</w:t>
      </w:r>
      <w:r w:rsidRPr="004A3CC9">
        <w:t xml:space="preserve"> </w:t>
      </w:r>
      <w:r w:rsidR="004E7893">
        <w:t>(</w:t>
      </w:r>
      <w:r w:rsidR="00DC3E11">
        <w:t>optimistically</w:t>
      </w:r>
      <w:r w:rsidR="004E7893">
        <w:t>)</w:t>
      </w:r>
      <w:r w:rsidR="00DC3E11">
        <w:t xml:space="preserve"> </w:t>
      </w:r>
      <w:r w:rsidR="004A3CC9" w:rsidRPr="004A3CC9">
        <w:t xml:space="preserve">model as an </w:t>
      </w:r>
      <w:r w:rsidRPr="004A3CC9">
        <w:t xml:space="preserve">increase by </w:t>
      </w:r>
      <w:r w:rsidR="004A3CC9" w:rsidRPr="004A3CC9">
        <w:t>10</w:t>
      </w:r>
      <w:r w:rsidRPr="004A3CC9">
        <w:t>%</w:t>
      </w:r>
      <w:r>
        <w:t xml:space="preserve"> of the </w:t>
      </w:r>
      <w:r w:rsidR="004142C1">
        <w:t>probability of success</w:t>
      </w:r>
      <w:r w:rsidR="00274735">
        <w:t xml:space="preserve"> of marketing authorisation</w:t>
      </w:r>
      <w:r w:rsidR="004E7893">
        <w:rPr>
          <w:rStyle w:val="Refdenotaalpie"/>
        </w:rPr>
        <w:footnoteReference w:id="28"/>
      </w:r>
      <w:r w:rsidR="00274735">
        <w:t>.</w:t>
      </w:r>
    </w:p>
    <w:p w14:paraId="7B491389" w14:textId="2F19268C" w:rsidR="00A935AC" w:rsidRDefault="00880474" w:rsidP="00A935AC">
      <w:pPr>
        <w:spacing w:after="0"/>
        <w:jc w:val="both"/>
      </w:pPr>
      <w:r w:rsidRPr="001828BA">
        <w:rPr>
          <w:b/>
          <w:bCs/>
        </w:rPr>
        <w:t>Modulation of RD</w:t>
      </w:r>
      <w:r w:rsidR="00DA1EA3">
        <w:rPr>
          <w:b/>
          <w:bCs/>
        </w:rPr>
        <w:t>P</w:t>
      </w:r>
      <w:r w:rsidR="001828BA" w:rsidRPr="001828BA">
        <w:rPr>
          <w:b/>
          <w:bCs/>
        </w:rPr>
        <w:t>.</w:t>
      </w:r>
      <w:r w:rsidR="00106C1F">
        <w:t xml:space="preserve"> </w:t>
      </w:r>
      <w:r w:rsidR="00E362B7">
        <w:t>T</w:t>
      </w:r>
      <w:r w:rsidR="00801721">
        <w:t xml:space="preserve">he Commission </w:t>
      </w:r>
      <w:r w:rsidR="008253CA">
        <w:t>advises to reduce</w:t>
      </w:r>
      <w:r w:rsidR="00E362B7">
        <w:t xml:space="preserve"> </w:t>
      </w:r>
      <w:r w:rsidR="00E362B7" w:rsidRPr="00AE7F63">
        <w:t xml:space="preserve">baseline </w:t>
      </w:r>
      <w:r w:rsidR="008C6B32" w:rsidRPr="00AE7F63">
        <w:t xml:space="preserve">RDP duration from </w:t>
      </w:r>
      <w:r w:rsidR="00E362B7" w:rsidRPr="00AE7F63">
        <w:t>eight</w:t>
      </w:r>
      <w:r w:rsidR="008C6B32" w:rsidRPr="00AE7F63">
        <w:t xml:space="preserve"> to </w:t>
      </w:r>
      <w:r w:rsidR="00E362B7" w:rsidRPr="00AE7F63">
        <w:t>six</w:t>
      </w:r>
      <w:r w:rsidR="008C6B32" w:rsidRPr="00AE7F63">
        <w:t xml:space="preserve"> years</w:t>
      </w:r>
      <w:r w:rsidR="00E362B7" w:rsidRPr="00AE7F63">
        <w:t xml:space="preserve"> (</w:t>
      </w:r>
      <w:r w:rsidR="000F2CEE" w:rsidRPr="00AE7F63">
        <w:t xml:space="preserve">supplemented </w:t>
      </w:r>
      <w:r w:rsidR="008253CA">
        <w:t>by</w:t>
      </w:r>
      <w:r w:rsidR="00E362B7" w:rsidRPr="00AE7F63">
        <w:t xml:space="preserve"> two </w:t>
      </w:r>
      <w:r w:rsidR="000F2CEE" w:rsidRPr="00AE7F63">
        <w:t>years of market protection</w:t>
      </w:r>
      <w:r w:rsidR="007E4682">
        <w:t xml:space="preserve"> as currently</w:t>
      </w:r>
      <w:r w:rsidR="000F2CEE" w:rsidRPr="00AE7F63">
        <w:t>)</w:t>
      </w:r>
      <w:r w:rsidR="00023405" w:rsidRPr="00AE7F63">
        <w:t>.</w:t>
      </w:r>
      <w:r w:rsidR="00023405">
        <w:t xml:space="preserve"> </w:t>
      </w:r>
      <w:r w:rsidR="00B66FE8">
        <w:t>P</w:t>
      </w:r>
      <w:r w:rsidR="001C13E7">
        <w:t>ossibilities for extension</w:t>
      </w:r>
      <w:r w:rsidR="008C6B32">
        <w:t xml:space="preserve"> </w:t>
      </w:r>
      <w:r w:rsidR="00B66FE8">
        <w:t>are introduced</w:t>
      </w:r>
      <w:r w:rsidR="00A935AC">
        <w:t>, which we consider</w:t>
      </w:r>
      <w:r w:rsidR="001C2F8C">
        <w:t>,</w:t>
      </w:r>
      <w:r w:rsidR="00A935AC">
        <w:t xml:space="preserve"> to estimate the average duration of RDP.</w:t>
      </w:r>
    </w:p>
    <w:p w14:paraId="28207947" w14:textId="491BF33F" w:rsidR="00071292" w:rsidRPr="00E2329E" w:rsidRDefault="008C6B32" w:rsidP="00B50D05">
      <w:pPr>
        <w:pStyle w:val="Prrafodelista"/>
        <w:numPr>
          <w:ilvl w:val="0"/>
          <w:numId w:val="15"/>
        </w:numPr>
        <w:jc w:val="both"/>
      </w:pPr>
      <w:r w:rsidRPr="00E2329E">
        <w:t>EU</w:t>
      </w:r>
      <w:r w:rsidR="056E4A24" w:rsidRPr="00E2329E">
        <w:t>-wide</w:t>
      </w:r>
      <w:r w:rsidRPr="00E2329E">
        <w:t xml:space="preserve"> market </w:t>
      </w:r>
      <w:r w:rsidR="007215CD">
        <w:t xml:space="preserve">release and </w:t>
      </w:r>
      <w:r w:rsidR="0050325B">
        <w:t>continuous</w:t>
      </w:r>
      <w:r w:rsidR="007215CD">
        <w:t xml:space="preserve"> supply within </w:t>
      </w:r>
      <w:r w:rsidR="0050325B">
        <w:t>two</w:t>
      </w:r>
      <w:r w:rsidR="007215CD">
        <w:t xml:space="preserve"> years </w:t>
      </w:r>
      <w:r w:rsidR="0050325B">
        <w:t xml:space="preserve">of regulatory approval </w:t>
      </w:r>
      <w:r w:rsidR="00A935AC" w:rsidRPr="00E2329E">
        <w:t xml:space="preserve">is </w:t>
      </w:r>
      <w:r w:rsidR="008971BA" w:rsidRPr="00E2329E">
        <w:t xml:space="preserve">assumed </w:t>
      </w:r>
      <w:r w:rsidR="3AD57732" w:rsidRPr="00E2329E">
        <w:t xml:space="preserve">not </w:t>
      </w:r>
      <w:r w:rsidR="008971BA" w:rsidRPr="00E2329E">
        <w:t>to be achiev</w:t>
      </w:r>
      <w:r w:rsidR="005B4AE6" w:rsidRPr="00E2329E">
        <w:t xml:space="preserve">ed </w:t>
      </w:r>
      <w:r w:rsidR="008971BA" w:rsidRPr="00E2329E">
        <w:t xml:space="preserve">by </w:t>
      </w:r>
      <w:r w:rsidR="76E83746" w:rsidRPr="00E2329E">
        <w:t>any</w:t>
      </w:r>
      <w:r w:rsidR="008971BA" w:rsidRPr="00E2329E">
        <w:t xml:space="preserve"> product, as to date no</w:t>
      </w:r>
      <w:r w:rsidR="00B5593A">
        <w:t xml:space="preserve"> RDP</w:t>
      </w:r>
      <w:r w:rsidR="008971BA" w:rsidRPr="00E2329E">
        <w:t xml:space="preserve"> product </w:t>
      </w:r>
      <w:r w:rsidR="00341A09" w:rsidRPr="00E2329E">
        <w:t>ha</w:t>
      </w:r>
      <w:r w:rsidR="00D74F80">
        <w:t>s</w:t>
      </w:r>
      <w:r w:rsidR="00341A09" w:rsidRPr="00E2329E">
        <w:t xml:space="preserve"> </w:t>
      </w:r>
      <w:r w:rsidR="1F756EDC" w:rsidRPr="00E2329E">
        <w:t xml:space="preserve">been </w:t>
      </w:r>
      <w:r w:rsidR="00341A09" w:rsidRPr="00E2329E">
        <w:t>successfully launched in all Member States</w:t>
      </w:r>
      <w:r w:rsidR="00A935AC" w:rsidRPr="00E2329E">
        <w:rPr>
          <w:rStyle w:val="Refdenotaalpie"/>
        </w:rPr>
        <w:footnoteReference w:id="29"/>
      </w:r>
      <w:r w:rsidR="00A935AC" w:rsidRPr="00E2329E">
        <w:t>. Although</w:t>
      </w:r>
      <w:r w:rsidR="00071292" w:rsidRPr="00E2329E">
        <w:t xml:space="preserve"> EFPIA companies have committed to </w:t>
      </w:r>
      <w:r w:rsidR="006119F4" w:rsidRPr="00D74F80">
        <w:rPr>
          <w:i/>
          <w:iCs/>
        </w:rPr>
        <w:t>file</w:t>
      </w:r>
      <w:r w:rsidR="006119F4" w:rsidRPr="00E2329E">
        <w:t xml:space="preserve"> P&amp;R applications</w:t>
      </w:r>
      <w:r w:rsidR="009325A8" w:rsidRPr="009325A8">
        <w:t xml:space="preserve"> </w:t>
      </w:r>
      <w:r w:rsidR="009325A8" w:rsidRPr="00E2329E">
        <w:t>for newly approved medicines within all Member States</w:t>
      </w:r>
      <w:r w:rsidR="00CA6BA1">
        <w:t xml:space="preserve">, provided that </w:t>
      </w:r>
      <w:r w:rsidR="00300EDC">
        <w:t xml:space="preserve">local </w:t>
      </w:r>
      <w:r w:rsidR="00CA6BA1">
        <w:t>systems allow</w:t>
      </w:r>
      <w:r w:rsidR="00300EDC">
        <w:t xml:space="preserve"> it</w:t>
      </w:r>
      <w:r w:rsidR="00CA6BA1">
        <w:t>,</w:t>
      </w:r>
      <w:r w:rsidR="006119F4" w:rsidRPr="00E2329E">
        <w:t xml:space="preserve"> no later than</w:t>
      </w:r>
      <w:r w:rsidR="00071292" w:rsidRPr="00E2329E">
        <w:t xml:space="preserve"> two years</w:t>
      </w:r>
      <w:r w:rsidR="006119F4" w:rsidRPr="00E2329E">
        <w:t xml:space="preserve"> after market </w:t>
      </w:r>
      <w:r w:rsidR="006119F4" w:rsidRPr="00E2329E">
        <w:lastRenderedPageBreak/>
        <w:t>authorisation</w:t>
      </w:r>
      <w:r w:rsidR="00071292" w:rsidRPr="00E2329E">
        <w:rPr>
          <w:rStyle w:val="Refdenotaalpie"/>
        </w:rPr>
        <w:footnoteReference w:id="30"/>
      </w:r>
      <w:r w:rsidR="006119F4" w:rsidRPr="00E2329E">
        <w:t xml:space="preserve">, that is </w:t>
      </w:r>
      <w:r w:rsidR="00D74F80">
        <w:t>not</w:t>
      </w:r>
      <w:r w:rsidR="006119F4" w:rsidRPr="00E2329E">
        <w:t xml:space="preserve"> sufficient to guarantee </w:t>
      </w:r>
      <w:r w:rsidR="004A4892">
        <w:t>release and continuous supply</w:t>
      </w:r>
      <w:r w:rsidR="006119F4" w:rsidRPr="00E2329E">
        <w:t xml:space="preserve">, </w:t>
      </w:r>
      <w:r w:rsidR="00D74F80">
        <w:t>given</w:t>
      </w:r>
      <w:r w:rsidR="006119F4" w:rsidRPr="00E2329E">
        <w:t xml:space="preserve"> that access </w:t>
      </w:r>
      <w:r w:rsidR="00D74F80">
        <w:t>outcomes</w:t>
      </w:r>
      <w:r w:rsidR="006119F4" w:rsidRPr="00E2329E">
        <w:t xml:space="preserve"> ultimately lie within </w:t>
      </w:r>
      <w:r w:rsidR="1A570F07" w:rsidRPr="00E2329E">
        <w:t xml:space="preserve">individual </w:t>
      </w:r>
      <w:r w:rsidR="006119F4" w:rsidRPr="00E2329E">
        <w:t>countries’ purview.</w:t>
      </w:r>
    </w:p>
    <w:p w14:paraId="070259B9" w14:textId="77777777" w:rsidR="00E573C2" w:rsidRPr="00E2329E" w:rsidRDefault="00071292" w:rsidP="00B50D05">
      <w:pPr>
        <w:pStyle w:val="Prrafodelista"/>
        <w:numPr>
          <w:ilvl w:val="0"/>
          <w:numId w:val="15"/>
        </w:numPr>
        <w:jc w:val="both"/>
      </w:pPr>
      <w:r w:rsidRPr="00E2329E">
        <w:t>A</w:t>
      </w:r>
      <w:r w:rsidR="001C282F" w:rsidRPr="00E2329E">
        <w:t xml:space="preserve">ddressing </w:t>
      </w:r>
      <w:r w:rsidRPr="00E2329E">
        <w:t xml:space="preserve">an </w:t>
      </w:r>
      <w:r w:rsidR="001C282F" w:rsidRPr="00E2329E">
        <w:t>unmet medical need</w:t>
      </w:r>
      <w:r w:rsidR="008C6B32" w:rsidRPr="00E2329E">
        <w:t xml:space="preserve"> </w:t>
      </w:r>
      <w:r w:rsidRPr="00E2329E">
        <w:t xml:space="preserve">is </w:t>
      </w:r>
      <w:r w:rsidR="00E573C2" w:rsidRPr="00E2329E">
        <w:t>modelled</w:t>
      </w:r>
      <w:r w:rsidR="00090133" w:rsidRPr="00E2329E">
        <w:t xml:space="preserve"> to be achieved by 20% of products, in line with Technopolis</w:t>
      </w:r>
      <w:r w:rsidR="00E573C2" w:rsidRPr="00E2329E">
        <w:rPr>
          <w:rStyle w:val="Refdenotaalpie"/>
        </w:rPr>
        <w:footnoteReference w:id="31"/>
      </w:r>
      <w:r w:rsidR="00090133" w:rsidRPr="00E2329E">
        <w:t xml:space="preserve"> and EFPIA estimates</w:t>
      </w:r>
      <w:r w:rsidR="00E573C2" w:rsidRPr="00E2329E">
        <w:rPr>
          <w:rStyle w:val="Refdenotaalpie"/>
        </w:rPr>
        <w:footnoteReference w:id="32"/>
      </w:r>
      <w:r w:rsidR="00E573C2" w:rsidRPr="00E2329E">
        <w:t>.</w:t>
      </w:r>
      <w:r w:rsidR="007E45AC" w:rsidRPr="00E2329E">
        <w:t xml:space="preserve"> </w:t>
      </w:r>
    </w:p>
    <w:p w14:paraId="617BFCEF" w14:textId="4B071454" w:rsidR="00E500CA" w:rsidRDefault="37CA34AF" w:rsidP="00B50D05">
      <w:pPr>
        <w:pStyle w:val="Prrafodelista"/>
        <w:numPr>
          <w:ilvl w:val="0"/>
          <w:numId w:val="15"/>
        </w:numPr>
        <w:jc w:val="both"/>
      </w:pPr>
      <w:r w:rsidRPr="00E2329E">
        <w:t xml:space="preserve">The </w:t>
      </w:r>
      <w:r w:rsidR="4EE5990E" w:rsidRPr="00E2329E">
        <w:t>c</w:t>
      </w:r>
      <w:r w:rsidR="008C6B32" w:rsidRPr="00E2329E">
        <w:t xml:space="preserve">omparative clinical trials </w:t>
      </w:r>
      <w:r w:rsidR="00E573C2" w:rsidRPr="00E2329E">
        <w:t xml:space="preserve">condition is expected </w:t>
      </w:r>
      <w:r w:rsidR="005963C0" w:rsidRPr="00E2329E">
        <w:t>to be</w:t>
      </w:r>
      <w:r w:rsidR="005B4AE6" w:rsidRPr="00E2329E">
        <w:t xml:space="preserve"> fulfilled </w:t>
      </w:r>
      <w:r w:rsidR="001F6CF8">
        <w:t>by</w:t>
      </w:r>
      <w:r w:rsidR="005B4AE6" w:rsidRPr="00E2329E">
        <w:t xml:space="preserve"> half of products</w:t>
      </w:r>
      <w:r w:rsidR="001F6CF8">
        <w:t>,</w:t>
      </w:r>
      <w:r w:rsidR="005B4AE6" w:rsidRPr="00E2329E">
        <w:t xml:space="preserve"> based on Technopolis</w:t>
      </w:r>
      <w:r w:rsidR="001C2F8C">
        <w:t>’</w:t>
      </w:r>
      <w:r w:rsidR="005B4AE6" w:rsidRPr="00E2329E">
        <w:t xml:space="preserve"> assessment and published</w:t>
      </w:r>
      <w:r w:rsidR="005B4AE6">
        <w:t xml:space="preserve"> literatur</w:t>
      </w:r>
      <w:r w:rsidR="00E573C2">
        <w:t>e</w:t>
      </w:r>
      <w:r w:rsidR="00E573C2">
        <w:rPr>
          <w:rStyle w:val="Refdenotaalpie"/>
        </w:rPr>
        <w:footnoteReference w:id="33"/>
      </w:r>
      <w:r w:rsidR="00E500CA">
        <w:t>.</w:t>
      </w:r>
    </w:p>
    <w:p w14:paraId="0639CB2D" w14:textId="7A923CD4" w:rsidR="00E500CA" w:rsidRDefault="00D436F3" w:rsidP="00B50D05">
      <w:pPr>
        <w:pStyle w:val="Prrafodelista"/>
        <w:numPr>
          <w:ilvl w:val="0"/>
          <w:numId w:val="15"/>
        </w:numPr>
        <w:jc w:val="both"/>
      </w:pPr>
      <w:r>
        <w:t>One-year extensions</w:t>
      </w:r>
      <w:r w:rsidR="00E54B11">
        <w:t xml:space="preserve"> </w:t>
      </w:r>
      <w:r>
        <w:t>for new indications bringing significant</w:t>
      </w:r>
      <w:r w:rsidR="00F63BB4" w:rsidRPr="00E2329E">
        <w:t xml:space="preserve"> </w:t>
      </w:r>
      <w:r w:rsidR="008C6B32" w:rsidRPr="00E2329E">
        <w:t xml:space="preserve">therapeutic </w:t>
      </w:r>
      <w:r>
        <w:t xml:space="preserve">benefits </w:t>
      </w:r>
      <w:r w:rsidR="00E500CA">
        <w:t xml:space="preserve">are estimated to be </w:t>
      </w:r>
      <w:r w:rsidR="00F63BB4">
        <w:t>applicable to 10% of products</w:t>
      </w:r>
      <w:r>
        <w:t>, in line with current practice</w:t>
      </w:r>
      <w:r w:rsidR="00B5593A">
        <w:rPr>
          <w:rStyle w:val="Refdenotaalpie"/>
        </w:rPr>
        <w:footnoteReference w:id="34"/>
      </w:r>
      <w:r w:rsidR="001854D8">
        <w:t>.</w:t>
      </w:r>
      <w:r w:rsidR="00F63BB4">
        <w:t xml:space="preserve"> </w:t>
      </w:r>
    </w:p>
    <w:p w14:paraId="2030B326" w14:textId="40A0A68C" w:rsidR="003D5958" w:rsidRDefault="00F63BB4" w:rsidP="00E500CA">
      <w:pPr>
        <w:jc w:val="both"/>
      </w:pPr>
      <w:r>
        <w:t xml:space="preserve">Collectively, this suggests a new </w:t>
      </w:r>
      <w:r w:rsidR="001854D8">
        <w:t>a</w:t>
      </w:r>
      <w:r w:rsidR="007E45AC">
        <w:t xml:space="preserve">verage duration </w:t>
      </w:r>
      <w:r>
        <w:t>of</w:t>
      </w:r>
      <w:r w:rsidR="00EB668F">
        <w:t xml:space="preserve"> protection of</w:t>
      </w:r>
      <w:r w:rsidR="007E45AC">
        <w:t xml:space="preserve"> 8.5</w:t>
      </w:r>
      <w:r>
        <w:t xml:space="preserve"> years</w:t>
      </w:r>
      <w:r w:rsidR="0034709D">
        <w:t xml:space="preserve"> (RDP + market protection)</w:t>
      </w:r>
      <w:r>
        <w:t>.</w:t>
      </w:r>
      <w:r w:rsidR="00475D33">
        <w:t xml:space="preserve"> </w:t>
      </w:r>
      <w:r w:rsidR="00FD1638">
        <w:t>We adopt a similar approach to</w:t>
      </w:r>
      <w:r w:rsidR="00E61D48">
        <w:t xml:space="preserve"> Technopolis</w:t>
      </w:r>
      <w:r w:rsidR="00FD1638">
        <w:t xml:space="preserve"> to </w:t>
      </w:r>
      <w:r w:rsidR="00415155">
        <w:t>represent</w:t>
      </w:r>
      <w:r w:rsidR="00FD1638">
        <w:t xml:space="preserve"> the impact of shorter market protection: we replace the</w:t>
      </w:r>
      <w:r w:rsidR="00E61D48">
        <w:t xml:space="preserve"> last 1.5 years of revenue</w:t>
      </w:r>
      <w:r w:rsidR="00FD1638">
        <w:t xml:space="preserve"> </w:t>
      </w:r>
      <w:r w:rsidR="001F6CF8">
        <w:t xml:space="preserve">before </w:t>
      </w:r>
      <w:r w:rsidR="00475D33">
        <w:t>loss of RDP with revenue expected in the presence of generic competition</w:t>
      </w:r>
      <w:r w:rsidR="009114A8">
        <w:t>.</w:t>
      </w:r>
      <w:r w:rsidR="00D33E9F">
        <w:t xml:space="preserve"> </w:t>
      </w:r>
    </w:p>
    <w:p w14:paraId="3DFFF40F" w14:textId="1876061A" w:rsidR="00FF3677" w:rsidRDefault="00B5593A" w:rsidP="009A66D5">
      <w:pPr>
        <w:jc w:val="both"/>
      </w:pPr>
      <w:r>
        <w:rPr>
          <w:b/>
          <w:bCs/>
        </w:rPr>
        <w:t xml:space="preserve">EFPIA </w:t>
      </w:r>
      <w:r w:rsidR="00E500CA" w:rsidRPr="00E500CA">
        <w:rPr>
          <w:b/>
          <w:bCs/>
        </w:rPr>
        <w:t xml:space="preserve">Commitment to </w:t>
      </w:r>
      <w:r w:rsidR="00C834B6">
        <w:rPr>
          <w:b/>
          <w:bCs/>
        </w:rPr>
        <w:t>F</w:t>
      </w:r>
      <w:r w:rsidR="00E500CA" w:rsidRPr="00E500CA">
        <w:rPr>
          <w:b/>
          <w:bCs/>
        </w:rPr>
        <w:t>ile.</w:t>
      </w:r>
      <w:r w:rsidR="00FF3677">
        <w:t xml:space="preserve"> </w:t>
      </w:r>
      <w:r w:rsidR="003F2478">
        <w:t>In the absence of specific data on the costs incurred by companies to complete country-level P&amp;R processes, w</w:t>
      </w:r>
      <w:r w:rsidR="00FF3677">
        <w:t>e assume</w:t>
      </w:r>
      <w:r w:rsidR="00EB2F37">
        <w:t xml:space="preserve"> </w:t>
      </w:r>
      <w:r w:rsidR="00FF3677">
        <w:t>that</w:t>
      </w:r>
      <w:r w:rsidR="00E500CA">
        <w:t xml:space="preserve"> costs incurred between </w:t>
      </w:r>
      <w:r w:rsidR="003C322E">
        <w:t>approval</w:t>
      </w:r>
      <w:r w:rsidR="00E500CA">
        <w:t xml:space="preserve"> and patient access would be increased by 50% </w:t>
      </w:r>
      <w:proofErr w:type="gramStart"/>
      <w:r w:rsidR="00E500CA">
        <w:t>as a result of</w:t>
      </w:r>
      <w:proofErr w:type="gramEnd"/>
      <w:r w:rsidR="00E500CA">
        <w:t xml:space="preserve"> EFPIA’s Commitment to File</w:t>
      </w:r>
      <w:r w:rsidR="00BB013F">
        <w:t>, following discussion with EFPIA Members.</w:t>
      </w:r>
    </w:p>
    <w:p w14:paraId="3F303F05" w14:textId="02D4E1F9" w:rsidR="00EA2371" w:rsidRPr="00006C3B" w:rsidRDefault="00EA2371" w:rsidP="009A66D5">
      <w:pPr>
        <w:jc w:val="both"/>
      </w:pPr>
      <w:r>
        <w:t>We do not consider the Commission’s proposal for a Transferable Exclusivity Voucher (TEV) in our modelling. That is a consequence of our methodological approach: we focus on product-level incentives for innovation for products which rely on RDP for IP protection. This exclusion should not be misconstrued as suggesting that TEVs</w:t>
      </w:r>
      <w:r w:rsidR="007439E5">
        <w:t xml:space="preserve"> as novel pull incentives</w:t>
      </w:r>
      <w:r>
        <w:t xml:space="preserve"> have limited value or importance</w:t>
      </w:r>
      <w:r w:rsidR="007439E5">
        <w:t xml:space="preserve"> for sustainable R&amp;D in antimicrobials.</w:t>
      </w:r>
    </w:p>
    <w:p w14:paraId="268C83EA" w14:textId="264C1884" w:rsidR="00EE5335" w:rsidRPr="004C5A19" w:rsidRDefault="00EE5335" w:rsidP="00EE5335">
      <w:pPr>
        <w:pStyle w:val="Ttulo4"/>
      </w:pPr>
      <w:r>
        <w:t>EFPIA counterproposals.</w:t>
      </w:r>
      <w:r w:rsidRPr="004C5A19">
        <w:t xml:space="preserve"> </w:t>
      </w:r>
      <w:r>
        <w:t xml:space="preserve">A second scenario aims at evaluating EFPIA’s </w:t>
      </w:r>
      <w:r w:rsidR="00CB5957">
        <w:t>counter</w:t>
      </w:r>
      <w:r>
        <w:t xml:space="preserve">proposal to strengthen </w:t>
      </w:r>
      <w:r w:rsidR="00CB5957">
        <w:t xml:space="preserve">the innovation </w:t>
      </w:r>
      <w:proofErr w:type="gramStart"/>
      <w:r w:rsidR="00CB5957">
        <w:t>ecosystem</w:t>
      </w:r>
      <w:proofErr w:type="gramEnd"/>
    </w:p>
    <w:p w14:paraId="593E2007" w14:textId="44092E8D" w:rsidR="00EE5335" w:rsidRPr="00E2329E" w:rsidRDefault="00D10A3E" w:rsidP="00EE5335">
      <w:pPr>
        <w:jc w:val="both"/>
      </w:pPr>
      <w:r>
        <w:rPr>
          <w:lang w:val="en-US"/>
        </w:rPr>
        <w:t xml:space="preserve">Similarly, we </w:t>
      </w:r>
      <w:r w:rsidR="00397DE4" w:rsidRPr="09F5ED04">
        <w:rPr>
          <w:lang w:val="en-US"/>
        </w:rPr>
        <w:t>amend</w:t>
      </w:r>
      <w:r>
        <w:rPr>
          <w:lang w:val="en-US"/>
        </w:rPr>
        <w:t xml:space="preserve"> </w:t>
      </w:r>
      <w:r w:rsidR="001C2F8C">
        <w:rPr>
          <w:lang w:val="en-US"/>
        </w:rPr>
        <w:t xml:space="preserve">the </w:t>
      </w:r>
      <w:r>
        <w:rPr>
          <w:lang w:val="en-US"/>
        </w:rPr>
        <w:t xml:space="preserve">model inputs to </w:t>
      </w:r>
      <w:r w:rsidR="00EE5335">
        <w:t>evaluate the impact of EFPIA’s counterproposals on the investment proposition</w:t>
      </w:r>
      <w:r w:rsidR="003C54AF">
        <w:t xml:space="preserve"> for RDP products in Europe</w:t>
      </w:r>
      <w:r w:rsidR="008E1650">
        <w:t xml:space="preserve"> (inputs described in Appendix II)</w:t>
      </w:r>
      <w:r w:rsidR="003C54AF">
        <w:t>.</w:t>
      </w:r>
      <w:r w:rsidR="00E2329E">
        <w:t xml:space="preserve"> </w:t>
      </w:r>
      <w:r w:rsidR="00C834B6">
        <w:t>T</w:t>
      </w:r>
      <w:r w:rsidR="00EE5335">
        <w:t xml:space="preserve">he same changes </w:t>
      </w:r>
      <w:r w:rsidR="00C834B6">
        <w:t>as in the previous scenario</w:t>
      </w:r>
      <w:r w:rsidR="00EE5335">
        <w:t xml:space="preserve"> are introduced</w:t>
      </w:r>
      <w:r w:rsidR="00E2329E">
        <w:t xml:space="preserve"> with regards to </w:t>
      </w:r>
      <w:r w:rsidR="00E2329E" w:rsidRPr="00E2329E">
        <w:t>regulatory approval and EFPIA’s Commitment to File.</w:t>
      </w:r>
    </w:p>
    <w:p w14:paraId="7FED1D2E" w14:textId="50C9FD7A" w:rsidR="00386EE7" w:rsidRDefault="00EE5335" w:rsidP="00386EE7">
      <w:pPr>
        <w:jc w:val="both"/>
      </w:pPr>
      <w:r>
        <w:t xml:space="preserve">EFPIA proposes </w:t>
      </w:r>
      <w:r w:rsidR="0004369C">
        <w:t>for</w:t>
      </w:r>
      <w:r w:rsidR="766F19E0">
        <w:t xml:space="preserve"> </w:t>
      </w:r>
      <w:r>
        <w:t xml:space="preserve">the RDP baseline </w:t>
      </w:r>
      <w:r w:rsidR="0004369C">
        <w:t xml:space="preserve">to </w:t>
      </w:r>
      <w:r>
        <w:t xml:space="preserve">be strengthened rather than </w:t>
      </w:r>
      <w:r w:rsidR="00CF55ED">
        <w:t>shortened</w:t>
      </w:r>
      <w:r w:rsidR="00C834B6">
        <w:t xml:space="preserve">, for </w:t>
      </w:r>
      <w:r w:rsidR="57FAC052">
        <w:t>c</w:t>
      </w:r>
      <w:r w:rsidR="0DFFDB47">
        <w:t xml:space="preserve">onditions connected to </w:t>
      </w:r>
      <w:r w:rsidR="00C834B6">
        <w:t xml:space="preserve">access conditionalities not to be introduced </w:t>
      </w:r>
      <w:r>
        <w:t xml:space="preserve">and for the unmet medical need definition to be linked to a </w:t>
      </w:r>
      <w:r w:rsidR="00CF55ED">
        <w:t>more significant</w:t>
      </w:r>
      <w:r>
        <w:t xml:space="preserve"> incentive. Accordingly, we </w:t>
      </w:r>
      <w:r w:rsidR="0004369C">
        <w:t xml:space="preserve">model </w:t>
      </w:r>
      <w:r>
        <w:t xml:space="preserve">the RDP baseline </w:t>
      </w:r>
      <w:r w:rsidR="0004369C">
        <w:t xml:space="preserve">as </w:t>
      </w:r>
      <w:r>
        <w:t>be</w:t>
      </w:r>
      <w:r w:rsidR="0004369C">
        <w:t>ing</w:t>
      </w:r>
      <w:r>
        <w:t xml:space="preserve"> prolonged by </w:t>
      </w:r>
      <w:r w:rsidR="00BB013F">
        <w:t>two</w:t>
      </w:r>
      <w:r w:rsidR="00F93B1D">
        <w:t xml:space="preserve"> </w:t>
      </w:r>
      <w:r>
        <w:t>year</w:t>
      </w:r>
      <w:r w:rsidR="00BB013F">
        <w:t>s</w:t>
      </w:r>
      <w:r>
        <w:t xml:space="preserve"> compared to </w:t>
      </w:r>
      <w:proofErr w:type="gramStart"/>
      <w:r>
        <w:t xml:space="preserve">current </w:t>
      </w:r>
      <w:r w:rsidR="1ACD080F">
        <w:t>status</w:t>
      </w:r>
      <w:proofErr w:type="gramEnd"/>
      <w:r>
        <w:t xml:space="preserve"> </w:t>
      </w:r>
      <w:r w:rsidR="0004369C">
        <w:t>(i.e., 1</w:t>
      </w:r>
      <w:r w:rsidR="00BB013F">
        <w:t>0</w:t>
      </w:r>
      <w:r w:rsidR="0004369C">
        <w:t xml:space="preserve">-year baseline). We consider </w:t>
      </w:r>
      <w:r w:rsidR="00E74A9B">
        <w:t>addressing an</w:t>
      </w:r>
      <w:r>
        <w:t xml:space="preserve"> unmet medical need </w:t>
      </w:r>
      <w:r w:rsidR="0004369C">
        <w:t xml:space="preserve">and conducting comparative clinical trials </w:t>
      </w:r>
      <w:r>
        <w:t>to lead to a year-long extension of RDP</w:t>
      </w:r>
      <w:r w:rsidR="00BB013F">
        <w:t xml:space="preserve"> each</w:t>
      </w:r>
      <w:r>
        <w:t xml:space="preserve"> (instead of 6 months as in the Commission’s proposal). We also infer that a patient-centric definition of unmet medical need would lead to broader eligibility, meaning that 50% of products would receive this year-long extension. </w:t>
      </w:r>
      <w:r w:rsidR="00BB013F">
        <w:t xml:space="preserve">As is currently the case, we reflect that 10% of product would receive a year-long RDP extension for an additional indication bringing significant therapeutic benefits and that all products would </w:t>
      </w:r>
      <w:r w:rsidR="00BB013F">
        <w:lastRenderedPageBreak/>
        <w:t xml:space="preserve">benefit from two years of market protection. </w:t>
      </w:r>
      <w:r>
        <w:t>Collectively, these changes amount to IP protection lasting 1</w:t>
      </w:r>
      <w:r w:rsidR="00BB013F">
        <w:t>3.1</w:t>
      </w:r>
      <w:r>
        <w:t xml:space="preserve"> years on average. </w:t>
      </w:r>
    </w:p>
    <w:p w14:paraId="4AD2EFE6" w14:textId="350F71AF" w:rsidR="00386EE7" w:rsidRDefault="00386EE7" w:rsidP="00386EE7">
      <w:pPr>
        <w:pStyle w:val="Ttulo4"/>
      </w:pPr>
      <w:r w:rsidRPr="00386EE7">
        <w:t>Implications. We leverage direct outputs from the rNPV model to estimate impact on</w:t>
      </w:r>
      <w:r>
        <w:t xml:space="preserve"> health and</w:t>
      </w:r>
      <w:r w:rsidRPr="00386EE7">
        <w:t xml:space="preserve"> country-level R&amp;D </w:t>
      </w:r>
      <w:proofErr w:type="gramStart"/>
      <w:r w:rsidRPr="00386EE7">
        <w:t>spend</w:t>
      </w:r>
      <w:proofErr w:type="gramEnd"/>
    </w:p>
    <w:p w14:paraId="249349D6" w14:textId="63D329DF" w:rsidR="00386EE7" w:rsidRDefault="00E64226" w:rsidP="00E64226">
      <w:pPr>
        <w:spacing w:after="0"/>
        <w:jc w:val="both"/>
        <w:rPr>
          <w:rFonts w:cs="Arial"/>
          <w:bCs/>
          <w:color w:val="000000" w:themeColor="text1"/>
          <w:szCs w:val="24"/>
        </w:rPr>
      </w:pPr>
      <w:r w:rsidRPr="00E64226">
        <w:rPr>
          <w:rFonts w:cs="Arial"/>
          <w:bCs/>
          <w:color w:val="000000" w:themeColor="text1"/>
          <w:szCs w:val="24"/>
        </w:rPr>
        <w:t xml:space="preserve">From the direct outputs </w:t>
      </w:r>
      <w:r>
        <w:rPr>
          <w:rFonts w:cs="Arial"/>
          <w:bCs/>
          <w:color w:val="000000" w:themeColor="text1"/>
          <w:szCs w:val="24"/>
        </w:rPr>
        <w:t xml:space="preserve">delivered by our rNPV model (change in share of products expected </w:t>
      </w:r>
      <w:r w:rsidR="00785E7E">
        <w:rPr>
          <w:rFonts w:cs="Arial"/>
          <w:bCs/>
          <w:color w:val="000000" w:themeColor="text1"/>
          <w:szCs w:val="24"/>
        </w:rPr>
        <w:t xml:space="preserve">to </w:t>
      </w:r>
      <w:r>
        <w:rPr>
          <w:rFonts w:cs="Arial"/>
          <w:bCs/>
          <w:color w:val="000000" w:themeColor="text1"/>
          <w:szCs w:val="24"/>
        </w:rPr>
        <w:t>be developed in Europe and in average rNPV vs. baseline), we extrapolate implications:</w:t>
      </w:r>
    </w:p>
    <w:p w14:paraId="5592DC63" w14:textId="436A5D48" w:rsidR="00E64226" w:rsidRPr="00091C76" w:rsidRDefault="00E64226" w:rsidP="00B50D05">
      <w:pPr>
        <w:pStyle w:val="Prrafodelista"/>
        <w:numPr>
          <w:ilvl w:val="0"/>
          <w:numId w:val="16"/>
        </w:numPr>
        <w:jc w:val="both"/>
        <w:rPr>
          <w:rFonts w:cs="Arial"/>
          <w:bCs/>
          <w:color w:val="000000" w:themeColor="text1"/>
          <w:szCs w:val="24"/>
        </w:rPr>
      </w:pPr>
      <w:r>
        <w:rPr>
          <w:rFonts w:cs="Arial"/>
          <w:bCs/>
          <w:color w:val="000000" w:themeColor="text1"/>
          <w:szCs w:val="24"/>
        </w:rPr>
        <w:t>On health benefits, by leveraging</w:t>
      </w:r>
      <w:r w:rsidR="00785E7E">
        <w:rPr>
          <w:rFonts w:cs="Arial"/>
          <w:bCs/>
          <w:color w:val="000000" w:themeColor="text1"/>
          <w:szCs w:val="24"/>
        </w:rPr>
        <w:t xml:space="preserve"> an</w:t>
      </w:r>
      <w:r>
        <w:rPr>
          <w:rFonts w:cs="Arial"/>
          <w:bCs/>
          <w:color w:val="000000" w:themeColor="text1"/>
          <w:szCs w:val="24"/>
        </w:rPr>
        <w:t xml:space="preserve"> estimate from the academic literature that every “</w:t>
      </w:r>
      <w:r>
        <w:t>$2,000 spent on pharmaceutical research and development increases population health by one statistical life-year”</w:t>
      </w:r>
      <w:r>
        <w:rPr>
          <w:rStyle w:val="Refdenotaalpie"/>
        </w:rPr>
        <w:footnoteReference w:id="35"/>
      </w:r>
      <w:r w:rsidR="00091C76">
        <w:t>;</w:t>
      </w:r>
    </w:p>
    <w:p w14:paraId="397422CC" w14:textId="62896E1E" w:rsidR="00091C76" w:rsidRPr="00FA1D08" w:rsidRDefault="00091C76" w:rsidP="00B50D05">
      <w:pPr>
        <w:pStyle w:val="Prrafodelista"/>
        <w:numPr>
          <w:ilvl w:val="0"/>
          <w:numId w:val="16"/>
        </w:numPr>
        <w:jc w:val="both"/>
        <w:rPr>
          <w:rFonts w:cs="Arial"/>
          <w:bCs/>
          <w:color w:val="000000" w:themeColor="text1"/>
          <w:szCs w:val="24"/>
        </w:rPr>
      </w:pPr>
      <w:r>
        <w:t>On country-level R&amp;D spend, by applying the drop in expected innovation in Europe, adjusted for the share of products impacted (i.e., the third of all products that rely on RDP for data protection)</w:t>
      </w:r>
      <w:r w:rsidR="00785E7E">
        <w:t>,</w:t>
      </w:r>
      <w:r>
        <w:t xml:space="preserve"> on observed R&amp;D spend by EU country</w:t>
      </w:r>
      <w:r>
        <w:rPr>
          <w:rStyle w:val="Refdenotaalpie"/>
        </w:rPr>
        <w:footnoteReference w:id="36"/>
      </w:r>
      <w:r>
        <w:t>.</w:t>
      </w:r>
    </w:p>
    <w:p w14:paraId="19870CBB" w14:textId="700E0E01" w:rsidR="007B727F" w:rsidRDefault="007B727F" w:rsidP="007B727F">
      <w:pPr>
        <w:pStyle w:val="Ttulo3"/>
      </w:pPr>
      <w:r>
        <w:t>Competitiveness.</w:t>
      </w:r>
      <w:r w:rsidR="0064746F">
        <w:t xml:space="preserve"> We extrapolate the implications of Commission proposals on Europe’s place within global </w:t>
      </w:r>
      <w:proofErr w:type="gramStart"/>
      <w:r w:rsidR="0064746F">
        <w:t>innovation</w:t>
      </w:r>
      <w:proofErr w:type="gramEnd"/>
      <w:r w:rsidR="006B48CA">
        <w:t xml:space="preserve"> </w:t>
      </w:r>
    </w:p>
    <w:p w14:paraId="69E006D4" w14:textId="0FC8E232" w:rsidR="00C818BD" w:rsidRDefault="00C818BD" w:rsidP="00C13CEB">
      <w:pPr>
        <w:jc w:val="both"/>
        <w:rPr>
          <w:lang w:val="en-US"/>
        </w:rPr>
      </w:pPr>
      <w:r>
        <w:rPr>
          <w:lang w:val="en-US"/>
        </w:rPr>
        <w:t>We perform an analysis to understand the impact of Commission</w:t>
      </w:r>
      <w:r w:rsidR="00785E7E">
        <w:rPr>
          <w:lang w:val="en-US"/>
        </w:rPr>
        <w:t xml:space="preserve"> </w:t>
      </w:r>
      <w:r>
        <w:rPr>
          <w:lang w:val="en-US"/>
        </w:rPr>
        <w:t>proposal</w:t>
      </w:r>
      <w:r w:rsidR="00785E7E">
        <w:rPr>
          <w:lang w:val="en-US"/>
        </w:rPr>
        <w:t>s</w:t>
      </w:r>
      <w:r>
        <w:rPr>
          <w:lang w:val="en-US"/>
        </w:rPr>
        <w:t xml:space="preserve"> on Europe’s standing within the global R&amp;D landscape. To that end, we leverage historical data to calculate the share</w:t>
      </w:r>
      <w:r w:rsidR="00C13CEB">
        <w:rPr>
          <w:lang w:val="en-US"/>
        </w:rPr>
        <w:t xml:space="preserve"> of global R&amp;D spend (equated to spend within Europe, the US, </w:t>
      </w:r>
      <w:proofErr w:type="gramStart"/>
      <w:r w:rsidR="00C13CEB">
        <w:rPr>
          <w:lang w:val="en-US"/>
        </w:rPr>
        <w:t>Japan</w:t>
      </w:r>
      <w:proofErr w:type="gramEnd"/>
      <w:r w:rsidR="00C13CEB">
        <w:rPr>
          <w:lang w:val="en-US"/>
        </w:rPr>
        <w:t xml:space="preserve"> and China) that Europe (EU27 + Switzerland + UK) is currently responsible for, as well as average c</w:t>
      </w:r>
      <w:r w:rsidR="00C13CEB" w:rsidRPr="00C13CEB">
        <w:rPr>
          <w:lang w:val="en-US"/>
        </w:rPr>
        <w:t xml:space="preserve">ompound </w:t>
      </w:r>
      <w:r w:rsidR="00C13CEB">
        <w:rPr>
          <w:lang w:val="en-US"/>
        </w:rPr>
        <w:t>a</w:t>
      </w:r>
      <w:r w:rsidR="00C13CEB" w:rsidRPr="00C13CEB">
        <w:rPr>
          <w:lang w:val="en-US"/>
        </w:rPr>
        <w:t xml:space="preserve">nnual </w:t>
      </w:r>
      <w:r w:rsidR="00C13CEB">
        <w:rPr>
          <w:lang w:val="en-US"/>
        </w:rPr>
        <w:t>g</w:t>
      </w:r>
      <w:r w:rsidR="00C13CEB" w:rsidRPr="00C13CEB">
        <w:rPr>
          <w:lang w:val="en-US"/>
        </w:rPr>
        <w:t xml:space="preserve">rowth </w:t>
      </w:r>
      <w:r w:rsidR="00C13CEB">
        <w:rPr>
          <w:lang w:val="en-US"/>
        </w:rPr>
        <w:t>r</w:t>
      </w:r>
      <w:r w:rsidR="00C13CEB" w:rsidRPr="00C13CEB">
        <w:rPr>
          <w:lang w:val="en-US"/>
        </w:rPr>
        <w:t>ate</w:t>
      </w:r>
      <w:r w:rsidR="00C13CEB">
        <w:rPr>
          <w:lang w:val="en-US"/>
        </w:rPr>
        <w:t>s within each country/region for 2010-2020</w:t>
      </w:r>
      <w:r w:rsidR="00C13CEB">
        <w:rPr>
          <w:rStyle w:val="Refdenotaalpie"/>
          <w:lang w:val="en-US"/>
        </w:rPr>
        <w:footnoteReference w:id="37"/>
      </w:r>
      <w:r w:rsidR="00C13CEB">
        <w:rPr>
          <w:lang w:val="en-US"/>
        </w:rPr>
        <w:t>.</w:t>
      </w:r>
    </w:p>
    <w:p w14:paraId="478E2409" w14:textId="30B38684" w:rsidR="006B48CA" w:rsidRPr="00A93857" w:rsidRDefault="00FC58C1" w:rsidP="00A93857">
      <w:pPr>
        <w:jc w:val="both"/>
        <w:rPr>
          <w:lang w:val="en-US"/>
        </w:rPr>
      </w:pPr>
      <w:r>
        <w:rPr>
          <w:lang w:val="en-US"/>
        </w:rPr>
        <w:t>We</w:t>
      </w:r>
      <w:r w:rsidR="006B48CA">
        <w:rPr>
          <w:lang w:val="en-US"/>
        </w:rPr>
        <w:t xml:space="preserve"> then </w:t>
      </w:r>
      <w:r w:rsidR="006B48CA" w:rsidRPr="09F5ED04">
        <w:rPr>
          <w:lang w:val="en-US"/>
        </w:rPr>
        <w:t>extrapolate</w:t>
      </w:r>
      <w:r w:rsidR="006B48CA">
        <w:rPr>
          <w:lang w:val="en-US"/>
        </w:rPr>
        <w:t xml:space="preserve"> R&amp;D spend within each country/region </w:t>
      </w:r>
      <w:r w:rsidR="00EB0EBA">
        <w:rPr>
          <w:lang w:val="en-US"/>
        </w:rPr>
        <w:t>to</w:t>
      </w:r>
      <w:r w:rsidR="006B48CA">
        <w:rPr>
          <w:lang w:val="en-US"/>
        </w:rPr>
        <w:t xml:space="preserve"> 2030 and 2040 by </w:t>
      </w:r>
      <w:proofErr w:type="gramStart"/>
      <w:r w:rsidR="006B48CA">
        <w:rPr>
          <w:lang w:val="en-US"/>
        </w:rPr>
        <w:t>making the assumption</w:t>
      </w:r>
      <w:proofErr w:type="gramEnd"/>
      <w:r w:rsidR="00A93857">
        <w:rPr>
          <w:lang w:val="en-US"/>
        </w:rPr>
        <w:t xml:space="preserve"> that all countries/r</w:t>
      </w:r>
      <w:r w:rsidR="006B48CA" w:rsidRPr="00A93857">
        <w:rPr>
          <w:lang w:val="en-US"/>
        </w:rPr>
        <w:t xml:space="preserve">egions will continue to </w:t>
      </w:r>
      <w:r w:rsidR="00A93857" w:rsidRPr="00A93857">
        <w:rPr>
          <w:lang w:val="en-US"/>
        </w:rPr>
        <w:t>grow</w:t>
      </w:r>
      <w:r w:rsidR="00A93857">
        <w:rPr>
          <w:lang w:val="en-US"/>
        </w:rPr>
        <w:t xml:space="preserve"> at the same rate over</w:t>
      </w:r>
      <w:r w:rsidR="00A93857" w:rsidRPr="00A93857">
        <w:rPr>
          <w:lang w:val="en-US"/>
        </w:rPr>
        <w:t xml:space="preserve"> the next two decades </w:t>
      </w:r>
      <w:r w:rsidR="00A93857">
        <w:rPr>
          <w:lang w:val="en-US"/>
        </w:rPr>
        <w:t xml:space="preserve">as that observed over the last one, with the exception of China. For China, we </w:t>
      </w:r>
      <w:r w:rsidR="00A93857" w:rsidRPr="09F5ED04">
        <w:rPr>
          <w:lang w:val="en-US"/>
        </w:rPr>
        <w:t>presume</w:t>
      </w:r>
      <w:r w:rsidR="00A93857">
        <w:rPr>
          <w:lang w:val="en-US"/>
        </w:rPr>
        <w:t xml:space="preserve"> that after a period of “catch-up” to 2025 (arbitrary), the growth rate will </w:t>
      </w:r>
      <w:r w:rsidR="1E87048D" w:rsidRPr="09F5ED04">
        <w:rPr>
          <w:lang w:val="en-US"/>
        </w:rPr>
        <w:t xml:space="preserve">be </w:t>
      </w:r>
      <w:r w:rsidR="00A93857">
        <w:rPr>
          <w:lang w:val="en-US"/>
        </w:rPr>
        <w:t xml:space="preserve">lower </w:t>
      </w:r>
      <w:r w:rsidR="71897D5B" w:rsidRPr="09F5ED04">
        <w:rPr>
          <w:lang w:val="en-US"/>
        </w:rPr>
        <w:t>and</w:t>
      </w:r>
      <w:r w:rsidR="00A93857">
        <w:rPr>
          <w:lang w:val="en-US"/>
        </w:rPr>
        <w:t xml:space="preserve"> equal </w:t>
      </w:r>
      <w:r w:rsidR="009325A8">
        <w:rPr>
          <w:lang w:val="en-US"/>
        </w:rPr>
        <w:t xml:space="preserve">to </w:t>
      </w:r>
      <w:r w:rsidR="00A93857">
        <w:rPr>
          <w:lang w:val="en-US"/>
        </w:rPr>
        <w:t xml:space="preserve">that achieved by the US. </w:t>
      </w:r>
      <w:r w:rsidR="00D50027">
        <w:rPr>
          <w:lang w:val="en-US"/>
        </w:rPr>
        <w:t>In addition, w</w:t>
      </w:r>
      <w:r w:rsidR="006561DF">
        <w:rPr>
          <w:lang w:val="en-US"/>
        </w:rPr>
        <w:t>e apply the drop in</w:t>
      </w:r>
      <w:r w:rsidR="00D50027">
        <w:rPr>
          <w:lang w:val="en-US"/>
        </w:rPr>
        <w:t xml:space="preserve"> European</w:t>
      </w:r>
      <w:r w:rsidR="006561DF">
        <w:rPr>
          <w:lang w:val="en-US"/>
        </w:rPr>
        <w:t xml:space="preserve"> innovation </w:t>
      </w:r>
      <w:r w:rsidR="00D50027">
        <w:rPr>
          <w:lang w:val="en-US"/>
        </w:rPr>
        <w:t>yielded</w:t>
      </w:r>
      <w:r w:rsidR="006561DF">
        <w:rPr>
          <w:lang w:val="en-US"/>
        </w:rPr>
        <w:t xml:space="preserve"> by our rNPV model</w:t>
      </w:r>
      <w:r w:rsidR="00D50027">
        <w:rPr>
          <w:lang w:val="en-US"/>
        </w:rPr>
        <w:t xml:space="preserve"> to </w:t>
      </w:r>
      <w:r w:rsidR="00EB0EBA">
        <w:rPr>
          <w:lang w:val="en-US"/>
        </w:rPr>
        <w:t xml:space="preserve">the </w:t>
      </w:r>
      <w:r w:rsidR="00D50027">
        <w:rPr>
          <w:lang w:val="en-US"/>
        </w:rPr>
        <w:t>predicted value of R&amp;D spend.</w:t>
      </w:r>
      <w:r w:rsidR="009643A1">
        <w:rPr>
          <w:lang w:val="en-US"/>
        </w:rPr>
        <w:t xml:space="preserve"> We appl</w:t>
      </w:r>
      <w:r w:rsidR="009325A8">
        <w:rPr>
          <w:lang w:val="en-US"/>
        </w:rPr>
        <w:t>y</w:t>
      </w:r>
      <w:r w:rsidR="009643A1">
        <w:rPr>
          <w:lang w:val="en-US"/>
        </w:rPr>
        <w:t xml:space="preserve"> this drop from 202</w:t>
      </w:r>
      <w:r w:rsidR="00EB0EBA">
        <w:rPr>
          <w:lang w:val="en-US"/>
        </w:rPr>
        <w:t>8</w:t>
      </w:r>
      <w:r w:rsidR="009643A1">
        <w:rPr>
          <w:lang w:val="en-US"/>
        </w:rPr>
        <w:t>, assuming adopti</w:t>
      </w:r>
      <w:r w:rsidR="00EB0EBA">
        <w:rPr>
          <w:lang w:val="en-US"/>
        </w:rPr>
        <w:t>on</w:t>
      </w:r>
      <w:r w:rsidR="009643A1">
        <w:rPr>
          <w:lang w:val="en-US"/>
        </w:rPr>
        <w:t xml:space="preserve"> of the Directive and Regulation in 202</w:t>
      </w:r>
      <w:r w:rsidR="00DC5680">
        <w:rPr>
          <w:lang w:val="en-US"/>
        </w:rPr>
        <w:t>6</w:t>
      </w:r>
      <w:r w:rsidR="009643A1">
        <w:rPr>
          <w:lang w:val="en-US"/>
        </w:rPr>
        <w:t xml:space="preserve"> and a</w:t>
      </w:r>
      <w:r w:rsidR="001C2F8C">
        <w:rPr>
          <w:lang w:val="en-US"/>
        </w:rPr>
        <w:t>n</w:t>
      </w:r>
      <w:r w:rsidR="009643A1">
        <w:rPr>
          <w:lang w:val="en-US"/>
        </w:rPr>
        <w:t xml:space="preserve"> </w:t>
      </w:r>
      <w:r w:rsidR="00981715">
        <w:rPr>
          <w:lang w:val="en-US"/>
        </w:rPr>
        <w:t>18</w:t>
      </w:r>
      <w:r w:rsidR="009B29C0">
        <w:rPr>
          <w:lang w:val="en-US"/>
        </w:rPr>
        <w:t>-</w:t>
      </w:r>
      <w:r w:rsidR="00981715">
        <w:rPr>
          <w:lang w:val="en-US"/>
        </w:rPr>
        <w:t xml:space="preserve">month </w:t>
      </w:r>
      <w:r w:rsidR="009643A1">
        <w:rPr>
          <w:lang w:val="en-US"/>
        </w:rPr>
        <w:t>implementation period.</w:t>
      </w:r>
      <w:r w:rsidR="00D50027">
        <w:rPr>
          <w:lang w:val="en-US"/>
        </w:rPr>
        <w:t xml:space="preserve"> In other words, we </w:t>
      </w:r>
      <w:r w:rsidR="00D50027" w:rsidRPr="09F5ED04">
        <w:rPr>
          <w:lang w:val="en-US"/>
        </w:rPr>
        <w:t>reflect</w:t>
      </w:r>
      <w:r w:rsidR="00D50027">
        <w:rPr>
          <w:lang w:val="en-US"/>
        </w:rPr>
        <w:t xml:space="preserve"> the fact that R&amp;D spend will continue to grow in Europe, but at a slower pace than could have been expected in an unchanged ecosystem.</w:t>
      </w:r>
      <w:r w:rsidR="009643A1">
        <w:rPr>
          <w:lang w:val="en-US"/>
        </w:rPr>
        <w:t xml:space="preserve"> </w:t>
      </w:r>
      <w:r w:rsidR="009643A1" w:rsidRPr="00D71DFE">
        <w:rPr>
          <w:lang w:val="en-US"/>
        </w:rPr>
        <w:t>Importantly, we do not model the estimated impact of the Inflation Reduction Act on US R&amp;D spend.</w:t>
      </w:r>
    </w:p>
    <w:p w14:paraId="6D001C13" w14:textId="1C3F57D2" w:rsidR="007B727F" w:rsidRDefault="007B727F" w:rsidP="007B727F">
      <w:pPr>
        <w:pStyle w:val="Ttulo3"/>
      </w:pPr>
      <w:r>
        <w:t>The case of SMEs.</w:t>
      </w:r>
      <w:r w:rsidR="00ED1C69">
        <w:t xml:space="preserve"> We consider specificities of </w:t>
      </w:r>
      <w:r w:rsidR="00ED1C69" w:rsidRPr="00DD1A9A">
        <w:t>SMEs</w:t>
      </w:r>
      <w:r w:rsidR="00ED1C69">
        <w:t xml:space="preserve"> to differentiate the impact of Commission proposals by the </w:t>
      </w:r>
      <w:r w:rsidR="4AF98BB2">
        <w:t>size</w:t>
      </w:r>
      <w:r w:rsidR="00ED1C69">
        <w:t xml:space="preserve"> of </w:t>
      </w:r>
      <w:proofErr w:type="gramStart"/>
      <w:r w:rsidR="00ED1C69">
        <w:t>compan</w:t>
      </w:r>
      <w:r w:rsidR="00912338">
        <w:t>y</w:t>
      </w:r>
      <w:proofErr w:type="gramEnd"/>
    </w:p>
    <w:p w14:paraId="2B33A4CC" w14:textId="55CCB213" w:rsidR="00912338" w:rsidRPr="00D71DFE" w:rsidRDefault="00912338" w:rsidP="00912338">
      <w:pPr>
        <w:jc w:val="both"/>
      </w:pPr>
      <w:r>
        <w:rPr>
          <w:lang w:val="en-US"/>
        </w:rPr>
        <w:t xml:space="preserve">SMEs play a singular role in the innovation ecosystem, significantly contributing to breakthrough innovation. </w:t>
      </w:r>
      <w:r w:rsidR="002A3089">
        <w:rPr>
          <w:lang w:val="en-US"/>
        </w:rPr>
        <w:t xml:space="preserve">At the same time, their requirement for continued financing from external investors </w:t>
      </w:r>
      <w:r w:rsidR="00BE011D">
        <w:rPr>
          <w:lang w:val="en-US"/>
        </w:rPr>
        <w:t>renders</w:t>
      </w:r>
      <w:r w:rsidR="002A3089">
        <w:rPr>
          <w:lang w:val="en-US"/>
        </w:rPr>
        <w:t xml:space="preserve"> them </w:t>
      </w:r>
      <w:r w:rsidR="002A3089" w:rsidRPr="09F5ED04">
        <w:rPr>
          <w:lang w:val="en-US"/>
        </w:rPr>
        <w:t>particular</w:t>
      </w:r>
      <w:r w:rsidR="235D740B" w:rsidRPr="09F5ED04">
        <w:rPr>
          <w:lang w:val="en-US"/>
        </w:rPr>
        <w:t>ly</w:t>
      </w:r>
      <w:r w:rsidR="002A3089">
        <w:rPr>
          <w:lang w:val="en-US"/>
        </w:rPr>
        <w:t xml:space="preserve"> sensitive to the effect of the policy environment: </w:t>
      </w:r>
      <w:r w:rsidR="3694F8F1" w:rsidRPr="09F5ED04">
        <w:rPr>
          <w:lang w:val="en-US"/>
        </w:rPr>
        <w:t xml:space="preserve">any </w:t>
      </w:r>
      <w:r w:rsidR="002A3089">
        <w:rPr>
          <w:lang w:val="en-US"/>
        </w:rPr>
        <w:t xml:space="preserve">decreases in the investment proposition they </w:t>
      </w:r>
      <w:r w:rsidR="002A3089" w:rsidRPr="09F5ED04">
        <w:rPr>
          <w:lang w:val="en-US"/>
        </w:rPr>
        <w:t>offer</w:t>
      </w:r>
      <w:r w:rsidR="002A3089">
        <w:rPr>
          <w:lang w:val="en-US"/>
        </w:rPr>
        <w:t xml:space="preserve"> directly affects their ability to attract capital, threatening their existence in the short</w:t>
      </w:r>
      <w:r w:rsidR="00BE011D">
        <w:rPr>
          <w:lang w:val="en-US"/>
        </w:rPr>
        <w:t xml:space="preserve"> </w:t>
      </w:r>
      <w:r w:rsidR="002A3089">
        <w:rPr>
          <w:lang w:val="en-US"/>
        </w:rPr>
        <w:t>term.</w:t>
      </w:r>
      <w:r w:rsidR="00BB013F">
        <w:rPr>
          <w:lang w:val="en-US"/>
        </w:rPr>
        <w:t xml:space="preserve"> Similarly, changes in the environment influence SMEs’ ability to secure strategic partnerships that routinely allow products to be further developed, manufacturer and </w:t>
      </w:r>
      <w:proofErr w:type="gramStart"/>
      <w:r w:rsidR="00BB013F">
        <w:rPr>
          <w:lang w:val="en-US"/>
        </w:rPr>
        <w:t>distributed</w:t>
      </w:r>
      <w:proofErr w:type="gramEnd"/>
    </w:p>
    <w:p w14:paraId="6EBDBA03" w14:textId="1FAD993B" w:rsidR="002A3089" w:rsidRDefault="002A3089" w:rsidP="00912338">
      <w:pPr>
        <w:jc w:val="both"/>
        <w:rPr>
          <w:lang w:val="en-US"/>
        </w:rPr>
      </w:pPr>
      <w:r>
        <w:rPr>
          <w:lang w:val="en-US"/>
        </w:rPr>
        <w:lastRenderedPageBreak/>
        <w:t xml:space="preserve">This uniquely important yet precarious position of SMEs </w:t>
      </w:r>
      <w:r w:rsidR="3FEA39FB" w:rsidRPr="09F5ED04">
        <w:rPr>
          <w:lang w:val="en-US"/>
        </w:rPr>
        <w:t>makes</w:t>
      </w:r>
      <w:r>
        <w:rPr>
          <w:lang w:val="en-US"/>
        </w:rPr>
        <w:t xml:space="preserve"> them of interest </w:t>
      </w:r>
      <w:r w:rsidR="2711968C" w:rsidRPr="09F5ED04">
        <w:rPr>
          <w:lang w:val="en-US"/>
        </w:rPr>
        <w:t>for</w:t>
      </w:r>
      <w:r>
        <w:rPr>
          <w:lang w:val="en-US"/>
        </w:rPr>
        <w:t xml:space="preserve"> our Assessment. We </w:t>
      </w:r>
      <w:r w:rsidRPr="09F5ED04">
        <w:rPr>
          <w:lang w:val="en-US"/>
        </w:rPr>
        <w:t>repeat</w:t>
      </w:r>
      <w:r>
        <w:rPr>
          <w:lang w:val="en-US"/>
        </w:rPr>
        <w:t xml:space="preserve"> the analyses described in the ‘EU innovation’ section above, tweaking inputs to reflect the case of SMEs.</w:t>
      </w:r>
      <w:r w:rsidR="00305E8C">
        <w:rPr>
          <w:lang w:val="en-US"/>
        </w:rPr>
        <w:t xml:space="preserve"> </w:t>
      </w:r>
      <w:r>
        <w:rPr>
          <w:lang w:val="en-US"/>
        </w:rPr>
        <w:t>In the absence of specific, robust data from the published literature, we</w:t>
      </w:r>
      <w:r w:rsidR="00BE011D">
        <w:rPr>
          <w:lang w:val="en-US"/>
        </w:rPr>
        <w:t xml:space="preserve"> only</w:t>
      </w:r>
      <w:r>
        <w:rPr>
          <w:lang w:val="en-US"/>
        </w:rPr>
        <w:t xml:space="preserve"> </w:t>
      </w:r>
      <w:r w:rsidRPr="09F5ED04">
        <w:rPr>
          <w:lang w:val="en-US"/>
        </w:rPr>
        <w:t>modif</w:t>
      </w:r>
      <w:r w:rsidR="009325A8">
        <w:rPr>
          <w:lang w:val="en-US"/>
        </w:rPr>
        <w:t xml:space="preserve">y </w:t>
      </w:r>
      <w:r>
        <w:rPr>
          <w:lang w:val="en-US"/>
        </w:rPr>
        <w:t>the cost of capital, which we (conservatively) infer</w:t>
      </w:r>
      <w:r w:rsidR="00BE011D">
        <w:rPr>
          <w:lang w:val="en-US"/>
        </w:rPr>
        <w:t xml:space="preserve"> </w:t>
      </w:r>
      <w:r>
        <w:rPr>
          <w:lang w:val="en-US"/>
        </w:rPr>
        <w:t xml:space="preserve">to be 50% higher </w:t>
      </w:r>
      <w:r w:rsidR="00BE011D">
        <w:rPr>
          <w:lang w:val="en-US"/>
        </w:rPr>
        <w:t xml:space="preserve">for SMEs </w:t>
      </w:r>
      <w:r>
        <w:rPr>
          <w:lang w:val="en-US"/>
        </w:rPr>
        <w:t>than that incurred by large companies</w:t>
      </w:r>
      <w:r w:rsidR="008E1650">
        <w:rPr>
          <w:lang w:val="en-US"/>
        </w:rPr>
        <w:t xml:space="preserve"> (also see Appendix III)</w:t>
      </w:r>
      <w:r>
        <w:rPr>
          <w:lang w:val="en-US"/>
        </w:rPr>
        <w:t>.</w:t>
      </w:r>
      <w:r w:rsidR="00305E8C">
        <w:rPr>
          <w:lang w:val="en-US"/>
        </w:rPr>
        <w:t xml:space="preserve"> </w:t>
      </w:r>
    </w:p>
    <w:p w14:paraId="3842034F" w14:textId="5BDE3246" w:rsidR="007B727F" w:rsidRDefault="007B727F" w:rsidP="007B727F">
      <w:pPr>
        <w:pStyle w:val="Ttulo3"/>
      </w:pPr>
      <w:r>
        <w:t>Environmental regulations.</w:t>
      </w:r>
      <w:r w:rsidR="00ED1C69">
        <w:t xml:space="preserve"> We add in the potential impact of links to environmental </w:t>
      </w:r>
      <w:proofErr w:type="gramStart"/>
      <w:r w:rsidR="00ED1C69">
        <w:t>regulations</w:t>
      </w:r>
      <w:proofErr w:type="gramEnd"/>
    </w:p>
    <w:p w14:paraId="0BB90665" w14:textId="430863E1" w:rsidR="00035DE1" w:rsidRDefault="009325A8" w:rsidP="00AE7F63">
      <w:pPr>
        <w:jc w:val="both"/>
      </w:pPr>
      <w:r>
        <w:t xml:space="preserve">In addition </w:t>
      </w:r>
      <w:r w:rsidR="245E47AE">
        <w:t>to</w:t>
      </w:r>
      <w:r w:rsidR="00E17DF3">
        <w:t xml:space="preserve"> proposals relative</w:t>
      </w:r>
      <w:r>
        <w:t xml:space="preserve"> </w:t>
      </w:r>
      <w:r w:rsidR="00E17DF3">
        <w:t>to regulatory processes and RDP, the Commission p</w:t>
      </w:r>
      <w:r w:rsidR="0086113B">
        <w:t>uts forward</w:t>
      </w:r>
      <w:r w:rsidR="00E17DF3">
        <w:t xml:space="preserve"> extensive</w:t>
      </w:r>
      <w:r w:rsidR="00A5765D">
        <w:t xml:space="preserve"> environmental proposals, as well as</w:t>
      </w:r>
      <w:r w:rsidR="00E17DF3">
        <w:t xml:space="preserve"> link</w:t>
      </w:r>
      <w:r w:rsidR="30A45B95">
        <w:t>s</w:t>
      </w:r>
      <w:r w:rsidR="00E17DF3">
        <w:t xml:space="preserve"> between </w:t>
      </w:r>
      <w:r w:rsidR="00FA1D08">
        <w:t xml:space="preserve">the </w:t>
      </w:r>
      <w:r w:rsidR="00E17DF3">
        <w:t xml:space="preserve">pharmaceutical legislation and other </w:t>
      </w:r>
      <w:r w:rsidR="4F2AD233">
        <w:t xml:space="preserve">requirements </w:t>
      </w:r>
      <w:r>
        <w:t>r</w:t>
      </w:r>
      <w:r w:rsidR="50B58629">
        <w:t>egarding the</w:t>
      </w:r>
      <w:r w:rsidR="00E17DF3">
        <w:t xml:space="preserve"> </w:t>
      </w:r>
      <w:r w:rsidR="00E17DF3" w:rsidRPr="00E17DF3">
        <w:t xml:space="preserve">environment, </w:t>
      </w:r>
      <w:proofErr w:type="gramStart"/>
      <w:r w:rsidR="00E17DF3" w:rsidRPr="00E17DF3">
        <w:t>chemicals</w:t>
      </w:r>
      <w:proofErr w:type="gramEnd"/>
      <w:r w:rsidR="00E17DF3" w:rsidRPr="00E17DF3">
        <w:t xml:space="preserve"> and water policy</w:t>
      </w:r>
      <w:r w:rsidR="00E17DF3">
        <w:t xml:space="preserve">, which are not </w:t>
      </w:r>
      <w:r w:rsidR="00FA1D08">
        <w:t>captured</w:t>
      </w:r>
      <w:r w:rsidR="00E17DF3">
        <w:t xml:space="preserve"> in our main analysis described above.</w:t>
      </w:r>
      <w:r w:rsidR="00035DE1">
        <w:t xml:space="preserve"> </w:t>
      </w:r>
      <w:r w:rsidR="00412AFA">
        <w:t xml:space="preserve">These include increased scope and impact of ERAs, the possibility of refusal of marketing authorisation on environmental grounds, </w:t>
      </w:r>
      <w:r w:rsidR="00A5765D">
        <w:t xml:space="preserve">and links </w:t>
      </w:r>
      <w:r w:rsidR="00A5765D" w:rsidRPr="00DC5680">
        <w:t xml:space="preserve">to </w:t>
      </w:r>
      <w:r w:rsidR="00DC5680" w:rsidRPr="00D71DFE">
        <w:t xml:space="preserve">a revised </w:t>
      </w:r>
      <w:r w:rsidR="00A5765D" w:rsidRPr="00DC5680">
        <w:t xml:space="preserve">REACH </w:t>
      </w:r>
      <w:r w:rsidR="00DC5680">
        <w:t>regulation</w:t>
      </w:r>
      <w:r w:rsidR="005275A3">
        <w:rPr>
          <w:rStyle w:val="Refdenotaalpie"/>
        </w:rPr>
        <w:footnoteReference w:id="38"/>
      </w:r>
      <w:r w:rsidR="00A5765D">
        <w:t xml:space="preserve"> and One Substance</w:t>
      </w:r>
      <w:r w:rsidR="005275A3">
        <w:t xml:space="preserve"> </w:t>
      </w:r>
      <w:r w:rsidR="008E1650">
        <w:t>–</w:t>
      </w:r>
      <w:r w:rsidR="00DC5680">
        <w:t xml:space="preserve"> </w:t>
      </w:r>
      <w:r w:rsidR="00A5765D">
        <w:t>One Assessment</w:t>
      </w:r>
      <w:r w:rsidR="00DC5680">
        <w:t xml:space="preserve"> initiative</w:t>
      </w:r>
      <w:r w:rsidR="005275A3">
        <w:rPr>
          <w:rStyle w:val="Refdenotaalpie"/>
        </w:rPr>
        <w:footnoteReference w:id="39"/>
      </w:r>
      <w:r w:rsidR="00DC5680">
        <w:t>.</w:t>
      </w:r>
      <w:r w:rsidR="00A5765D">
        <w:rPr>
          <w:vertAlign w:val="superscript"/>
        </w:rPr>
        <w:t xml:space="preserve"> </w:t>
      </w:r>
    </w:p>
    <w:p w14:paraId="564423C3" w14:textId="7AFB48BD" w:rsidR="00AE7F63" w:rsidRDefault="00035DE1" w:rsidP="001E649B">
      <w:pPr>
        <w:jc w:val="both"/>
      </w:pPr>
      <w:r>
        <w:t xml:space="preserve">Many of the regulations referenced in the draft Regulation or Directive are themselves undergoing revisions, hence there is significant uncertainty as to the extent and nature of the new obligations to be introduced. In addition to this uncertainty, there is a </w:t>
      </w:r>
      <w:r w:rsidR="00082501">
        <w:t>lack</w:t>
      </w:r>
      <w:r w:rsidR="00AE7F63">
        <w:t xml:space="preserve"> of </w:t>
      </w:r>
      <w:r w:rsidR="00082501">
        <w:t>identified</w:t>
      </w:r>
      <w:r w:rsidR="00AE7F63">
        <w:t xml:space="preserve"> quantitative evidence on the implications of </w:t>
      </w:r>
      <w:r>
        <w:t xml:space="preserve">environmental </w:t>
      </w:r>
      <w:r w:rsidR="00AE7F63">
        <w:t>requirements</w:t>
      </w:r>
      <w:r>
        <w:t>. Accordingly</w:t>
      </w:r>
      <w:r w:rsidR="009B29C0">
        <w:t>,</w:t>
      </w:r>
      <w:r w:rsidR="00AE7F63">
        <w:t xml:space="preserve"> we </w:t>
      </w:r>
      <w:r>
        <w:t xml:space="preserve">posit that increased obligations would translate to </w:t>
      </w:r>
      <w:r w:rsidR="00AE7F63" w:rsidRPr="00E17DF3">
        <w:t xml:space="preserve">a </w:t>
      </w:r>
      <w:r w:rsidR="00E17DF3" w:rsidRPr="00E17DF3">
        <w:t>5</w:t>
      </w:r>
      <w:r w:rsidR="00AE7F63" w:rsidRPr="00E17DF3">
        <w:t>% increase</w:t>
      </w:r>
      <w:r w:rsidR="00AE7F63">
        <w:t xml:space="preserve"> in R&amp;D costs and </w:t>
      </w:r>
      <w:r w:rsidR="00E17DF3">
        <w:t xml:space="preserve">20% increase in </w:t>
      </w:r>
      <w:r w:rsidR="00AE7F63">
        <w:t>COG</w:t>
      </w:r>
      <w:r w:rsidR="00E17DF3">
        <w:t>S</w:t>
      </w:r>
      <w:r w:rsidR="00AE7F63">
        <w:t xml:space="preserve"> </w:t>
      </w:r>
      <w:proofErr w:type="gramStart"/>
      <w:r w:rsidR="00AE7F63">
        <w:t>as a result of</w:t>
      </w:r>
      <w:proofErr w:type="gramEnd"/>
      <w:r w:rsidR="00AE7F63">
        <w:t xml:space="preserve"> the more extensive ERA requirements and constraints on substances involved in manufacturing and packaging</w:t>
      </w:r>
      <w:r w:rsidR="008E1650">
        <w:t xml:space="preserve"> (see Appendix IV)</w:t>
      </w:r>
      <w:r w:rsidR="00AE7F63">
        <w:t xml:space="preserve">. </w:t>
      </w:r>
      <w:r w:rsidR="00F92294">
        <w:t xml:space="preserve">It should be noted that some of the proposed changes could have more profound impacts on industry’s activity: </w:t>
      </w:r>
      <w:r w:rsidR="00AE7F63">
        <w:t>an</w:t>
      </w:r>
      <w:r w:rsidR="00F92294">
        <w:t xml:space="preserve"> EFPIA-commissioned</w:t>
      </w:r>
      <w:r w:rsidR="00AE7F63">
        <w:t xml:space="preserve"> analysis</w:t>
      </w:r>
      <w:r w:rsidR="00AE7F63" w:rsidRPr="00006C3B">
        <w:t xml:space="preserve"> of the </w:t>
      </w:r>
      <w:r w:rsidR="00AE7F63">
        <w:t>impact of a ban o</w:t>
      </w:r>
      <w:r w:rsidR="001E649B">
        <w:t>f per- and polyfluoroalkyl substances</w:t>
      </w:r>
      <w:r w:rsidR="00AE7F63">
        <w:t xml:space="preserve"> </w:t>
      </w:r>
      <w:r w:rsidR="001E649B">
        <w:t>(</w:t>
      </w:r>
      <w:r w:rsidR="00AE7F63">
        <w:t>PFAS</w:t>
      </w:r>
      <w:r w:rsidR="001E649B">
        <w:t>)</w:t>
      </w:r>
      <w:r w:rsidR="00AE7F63">
        <w:t xml:space="preserve"> suggests that all EU production might be curtailed by this measure alone</w:t>
      </w:r>
      <w:r w:rsidR="001E649B">
        <w:rPr>
          <w:rStyle w:val="Refdenotaalpie"/>
        </w:rPr>
        <w:footnoteReference w:id="40"/>
      </w:r>
      <w:r w:rsidR="00AE7F63">
        <w:t>.</w:t>
      </w:r>
    </w:p>
    <w:p w14:paraId="438E66C3" w14:textId="4B4122E6" w:rsidR="00916F6E" w:rsidRPr="00522E47" w:rsidRDefault="0030706A" w:rsidP="00996A7B">
      <w:pPr>
        <w:pStyle w:val="Ttulo2"/>
      </w:pPr>
      <w:r>
        <w:t xml:space="preserve">Impact on access. </w:t>
      </w:r>
      <w:r w:rsidR="000633FA">
        <w:t>We</w:t>
      </w:r>
      <w:r w:rsidR="0023617A">
        <w:t xml:space="preserve"> scrutinise</w:t>
      </w:r>
      <w:r w:rsidR="000633FA">
        <w:t xml:space="preserve"> the economic</w:t>
      </w:r>
      <w:r w:rsidR="00DB00CB">
        <w:t>s</w:t>
      </w:r>
      <w:r w:rsidR="000633FA">
        <w:t xml:space="preserve"> </w:t>
      </w:r>
      <w:r w:rsidR="00DB00CB">
        <w:t>of launch</w:t>
      </w:r>
      <w:r w:rsidR="001D4AEB">
        <w:t>ing</w:t>
      </w:r>
      <w:r w:rsidR="00CC5504">
        <w:t xml:space="preserve"> in all 27 Member States</w:t>
      </w:r>
      <w:r w:rsidR="000633FA">
        <w:t>, with the view t</w:t>
      </w:r>
      <w:r w:rsidR="001530E9">
        <w:t>o</w:t>
      </w:r>
      <w:r w:rsidR="00D01DAB">
        <w:t xml:space="preserve"> </w:t>
      </w:r>
      <w:r w:rsidR="00F41E84">
        <w:t>examine the feasib</w:t>
      </w:r>
      <w:r w:rsidR="00D96845">
        <w:t xml:space="preserve">ility of </w:t>
      </w:r>
      <w:r w:rsidR="00CC5504">
        <w:t>the</w:t>
      </w:r>
      <w:r w:rsidR="008A3787">
        <w:t xml:space="preserve"> Commission’s</w:t>
      </w:r>
      <w:r w:rsidR="00B92187">
        <w:t xml:space="preserve"> proposed</w:t>
      </w:r>
      <w:r w:rsidR="00CC5504">
        <w:t xml:space="preserve"> launch conditionalit</w:t>
      </w:r>
      <w:r w:rsidR="00B92187">
        <w:t>y</w:t>
      </w:r>
      <w:r w:rsidR="00305C4A">
        <w:t xml:space="preserve"> and the impact of reduced </w:t>
      </w:r>
      <w:proofErr w:type="gramStart"/>
      <w:r w:rsidR="00305C4A">
        <w:t>RDP</w:t>
      </w:r>
      <w:proofErr w:type="gramEnd"/>
    </w:p>
    <w:p w14:paraId="18072C27" w14:textId="33EC7B8A" w:rsidR="000C766A" w:rsidRDefault="00890DAF" w:rsidP="007B3F30">
      <w:pPr>
        <w:jc w:val="both"/>
        <w:rPr>
          <w:lang w:val="en-US"/>
        </w:rPr>
      </w:pPr>
      <w:r>
        <w:rPr>
          <w:lang w:val="en-US"/>
        </w:rPr>
        <w:t xml:space="preserve">A second version of the NPV model </w:t>
      </w:r>
      <w:r w:rsidR="00305C4A">
        <w:rPr>
          <w:lang w:val="en-US"/>
        </w:rPr>
        <w:t>adopts</w:t>
      </w:r>
      <w:r w:rsidR="00340CB3">
        <w:rPr>
          <w:lang w:val="en-US"/>
        </w:rPr>
        <w:t xml:space="preserve"> the perspective of a </w:t>
      </w:r>
      <w:r w:rsidR="00305C4A">
        <w:rPr>
          <w:lang w:val="en-US"/>
        </w:rPr>
        <w:t>bio</w:t>
      </w:r>
      <w:r w:rsidR="00005850">
        <w:rPr>
          <w:lang w:val="en-US"/>
        </w:rPr>
        <w:t xml:space="preserve">pharmaceutical company having just obtained marketing authorisation and </w:t>
      </w:r>
      <w:r w:rsidR="00645548">
        <w:rPr>
          <w:lang w:val="en-US"/>
        </w:rPr>
        <w:t xml:space="preserve">considering </w:t>
      </w:r>
      <w:r w:rsidR="000E54D7">
        <w:rPr>
          <w:lang w:val="en-US"/>
        </w:rPr>
        <w:t>market launch decisions.</w:t>
      </w:r>
      <w:r w:rsidR="00C92F25">
        <w:rPr>
          <w:lang w:val="en-US"/>
        </w:rPr>
        <w:t xml:space="preserve"> As</w:t>
      </w:r>
      <w:r w:rsidR="00C92F25" w:rsidRPr="09F5ED04">
        <w:rPr>
          <w:lang w:val="en-US"/>
        </w:rPr>
        <w:t xml:space="preserve"> </w:t>
      </w:r>
      <w:r w:rsidR="27EED1C9" w:rsidRPr="09F5ED04">
        <w:rPr>
          <w:lang w:val="en-US"/>
        </w:rPr>
        <w:t>in</w:t>
      </w:r>
      <w:r w:rsidR="00C92F25">
        <w:rPr>
          <w:lang w:val="en-US"/>
        </w:rPr>
        <w:t xml:space="preserve"> the previous model, it focuses on products that rely on RDP for </w:t>
      </w:r>
      <w:r w:rsidR="0023617A">
        <w:rPr>
          <w:lang w:val="en-US"/>
        </w:rPr>
        <w:t>IP</w:t>
      </w:r>
      <w:r w:rsidR="00C92F25">
        <w:rPr>
          <w:lang w:val="en-US"/>
        </w:rPr>
        <w:t xml:space="preserve"> protection and is European in scope. </w:t>
      </w:r>
      <w:r w:rsidR="00CE4466">
        <w:rPr>
          <w:lang w:val="en-US"/>
        </w:rPr>
        <w:t>Th</w:t>
      </w:r>
      <w:r w:rsidR="005E7D9B">
        <w:rPr>
          <w:lang w:val="en-US"/>
        </w:rPr>
        <w:t>is</w:t>
      </w:r>
      <w:r w:rsidR="00CE4466">
        <w:rPr>
          <w:lang w:val="en-US"/>
        </w:rPr>
        <w:t xml:space="preserve"> NPV model </w:t>
      </w:r>
      <w:r w:rsidR="005E7D9B">
        <w:rPr>
          <w:lang w:val="en-US"/>
        </w:rPr>
        <w:t>is designed to be schematic</w:t>
      </w:r>
      <w:r w:rsidR="006439AA">
        <w:rPr>
          <w:lang w:val="en-US"/>
        </w:rPr>
        <w:t>, in the absence of reliable public data</w:t>
      </w:r>
      <w:r w:rsidR="00C265E3">
        <w:rPr>
          <w:lang w:val="en-US"/>
        </w:rPr>
        <w:t xml:space="preserve"> (e.g</w:t>
      </w:r>
      <w:r w:rsidR="00701AD9">
        <w:rPr>
          <w:lang w:val="en-US"/>
        </w:rPr>
        <w:t>.,</w:t>
      </w:r>
      <w:r w:rsidR="00C265E3">
        <w:rPr>
          <w:lang w:val="en-US"/>
        </w:rPr>
        <w:t xml:space="preserve"> net drug prices)</w:t>
      </w:r>
      <w:r w:rsidR="000A5E80">
        <w:rPr>
          <w:lang w:val="en-US"/>
        </w:rPr>
        <w:t xml:space="preserve">, but to help </w:t>
      </w:r>
      <w:r w:rsidR="00350684">
        <w:rPr>
          <w:lang w:val="en-US"/>
        </w:rPr>
        <w:t xml:space="preserve">broadly </w:t>
      </w:r>
      <w:r w:rsidR="000A5E80">
        <w:rPr>
          <w:lang w:val="en-US"/>
        </w:rPr>
        <w:t xml:space="preserve">understand </w:t>
      </w:r>
      <w:r w:rsidR="007B3F30">
        <w:rPr>
          <w:lang w:val="en-US"/>
        </w:rPr>
        <w:t xml:space="preserve">whether launch in </w:t>
      </w:r>
      <w:r w:rsidR="56CAB286" w:rsidRPr="09F5ED04">
        <w:rPr>
          <w:lang w:val="en-US"/>
        </w:rPr>
        <w:t xml:space="preserve">all </w:t>
      </w:r>
      <w:r w:rsidR="007B3F30">
        <w:rPr>
          <w:lang w:val="en-US"/>
        </w:rPr>
        <w:t xml:space="preserve">Member States is financially </w:t>
      </w:r>
      <w:r w:rsidR="00C265E3">
        <w:rPr>
          <w:lang w:val="en-US"/>
        </w:rPr>
        <w:t>viable</w:t>
      </w:r>
      <w:r w:rsidR="007B3F30">
        <w:rPr>
          <w:lang w:val="en-US"/>
        </w:rPr>
        <w:t>.</w:t>
      </w:r>
      <w:r w:rsidR="005E7D9B">
        <w:rPr>
          <w:lang w:val="en-US"/>
        </w:rPr>
        <w:t xml:space="preserve"> </w:t>
      </w:r>
      <w:r w:rsidR="008E1650">
        <w:rPr>
          <w:lang w:val="en-US"/>
        </w:rPr>
        <w:t xml:space="preserve">Model structure and inputs are described below and </w:t>
      </w:r>
      <w:proofErr w:type="spellStart"/>
      <w:r w:rsidR="008E1650">
        <w:rPr>
          <w:lang w:val="en-US"/>
        </w:rPr>
        <w:t>summarised</w:t>
      </w:r>
      <w:proofErr w:type="spellEnd"/>
      <w:r w:rsidR="008E1650">
        <w:rPr>
          <w:lang w:val="en-US"/>
        </w:rPr>
        <w:t xml:space="preserve"> in Appendix V.</w:t>
      </w:r>
    </w:p>
    <w:p w14:paraId="67F5AB24" w14:textId="25CC8A85" w:rsidR="00D12BCA" w:rsidRDefault="0064291A" w:rsidP="00DF495E">
      <w:pPr>
        <w:jc w:val="both"/>
      </w:pPr>
      <w:r>
        <w:rPr>
          <w:b/>
          <w:bCs/>
        </w:rPr>
        <w:t xml:space="preserve">Revenue. </w:t>
      </w:r>
      <w:r w:rsidR="00AC6963">
        <w:t>The model considers two disease archetypes</w:t>
      </w:r>
      <w:r w:rsidR="0074234A">
        <w:t xml:space="preserve"> </w:t>
      </w:r>
      <w:r w:rsidR="00EA29E2">
        <w:t>(a prevalent disease and a rare disease)</w:t>
      </w:r>
      <w:r w:rsidR="0003121A">
        <w:t xml:space="preserve">, </w:t>
      </w:r>
      <w:r w:rsidR="00F37F0D">
        <w:t>characterised</w:t>
      </w:r>
      <w:r w:rsidR="00D12BCA">
        <w:t xml:space="preserve"> in</w:t>
      </w:r>
      <w:r w:rsidR="000F14E9">
        <w:t xml:space="preserve"> </w:t>
      </w:r>
      <w:r w:rsidR="000F14E9">
        <w:fldChar w:fldCharType="begin"/>
      </w:r>
      <w:r w:rsidR="000F14E9">
        <w:instrText xml:space="preserve"> REF _Ref146570354 \h </w:instrText>
      </w:r>
      <w:r w:rsidR="000F14E9">
        <w:fldChar w:fldCharType="separate"/>
      </w:r>
      <w:r w:rsidR="000F14E9" w:rsidRPr="000F14E9">
        <w:t xml:space="preserve">Table </w:t>
      </w:r>
      <w:r w:rsidR="000F14E9" w:rsidRPr="000F14E9">
        <w:rPr>
          <w:noProof/>
        </w:rPr>
        <w:t>1</w:t>
      </w:r>
      <w:r w:rsidR="000F14E9">
        <w:fldChar w:fldCharType="end"/>
      </w:r>
      <w:r w:rsidR="000F14E9">
        <w:t>.</w:t>
      </w:r>
      <w:r w:rsidR="00145675" w:rsidRPr="00145675">
        <w:t xml:space="preserve"> </w:t>
      </w:r>
      <w:r w:rsidR="00145675">
        <w:t>Prices are adjusted for each country</w:t>
      </w:r>
      <w:r w:rsidR="00AC4309">
        <w:t xml:space="preserve">, </w:t>
      </w:r>
      <w:r w:rsidR="7F25AC46">
        <w:t xml:space="preserve">and </w:t>
      </w:r>
      <w:r w:rsidR="00AC4309">
        <w:t>a</w:t>
      </w:r>
      <w:r w:rsidR="00A51418">
        <w:t xml:space="preserve">nchored </w:t>
      </w:r>
      <w:r w:rsidR="008615D8">
        <w:t>o</w:t>
      </w:r>
      <w:r w:rsidR="00A51418">
        <w:t>n German prices,</w:t>
      </w:r>
      <w:r w:rsidR="00145675">
        <w:t xml:space="preserve"> based on</w:t>
      </w:r>
      <w:r w:rsidR="00A51418">
        <w:t xml:space="preserve"> a published p</w:t>
      </w:r>
      <w:r w:rsidR="005E4BEB">
        <w:t xml:space="preserve">harmaceutical </w:t>
      </w:r>
      <w:r w:rsidR="00145675">
        <w:t>price inde</w:t>
      </w:r>
      <w:r w:rsidR="00CC5BD4">
        <w:t>x</w:t>
      </w:r>
      <w:r w:rsidR="00DF495E">
        <w:rPr>
          <w:rStyle w:val="Refdenotaalpie"/>
        </w:rPr>
        <w:footnoteReference w:id="41"/>
      </w:r>
      <w:r w:rsidR="00CC5BD4">
        <w:t>.</w:t>
      </w:r>
      <w:r w:rsidR="00145675">
        <w:t xml:space="preserve"> </w:t>
      </w:r>
      <w:r w:rsidR="00EF2277">
        <w:t>P</w:t>
      </w:r>
      <w:r w:rsidR="00145675">
        <w:t xml:space="preserve">atient populations </w:t>
      </w:r>
      <w:r w:rsidR="00EF2277">
        <w:t>are</w:t>
      </w:r>
      <w:r w:rsidR="00145675">
        <w:t xml:space="preserve"> </w:t>
      </w:r>
      <w:r w:rsidR="009325A8">
        <w:lastRenderedPageBreak/>
        <w:t xml:space="preserve">estimated </w:t>
      </w:r>
      <w:r w:rsidR="00145675">
        <w:t>based on</w:t>
      </w:r>
      <w:r w:rsidR="00EF2277">
        <w:t xml:space="preserve"> the population in each</w:t>
      </w:r>
      <w:r w:rsidR="00145675">
        <w:t xml:space="preserve"> country</w:t>
      </w:r>
      <w:r w:rsidR="00DF495E">
        <w:rPr>
          <w:rStyle w:val="Refdenotaalpie"/>
        </w:rPr>
        <w:footnoteReference w:id="42"/>
      </w:r>
      <w:r w:rsidR="00EF2277">
        <w:t>, disease prevalence and an assumption on</w:t>
      </w:r>
      <w:r w:rsidR="009325A8">
        <w:t xml:space="preserve"> </w:t>
      </w:r>
      <w:r w:rsidR="00EF2277">
        <w:t xml:space="preserve">the share of prevalent patients that </w:t>
      </w:r>
      <w:r w:rsidR="0B6FF11F">
        <w:t xml:space="preserve">would </w:t>
      </w:r>
      <w:proofErr w:type="gramStart"/>
      <w:r w:rsidR="00EF2277">
        <w:t>actually receive</w:t>
      </w:r>
      <w:proofErr w:type="gramEnd"/>
      <w:r w:rsidR="00EF2277">
        <w:t xml:space="preserve"> the therapy</w:t>
      </w:r>
      <w:r w:rsidR="00145675">
        <w:t xml:space="preserve">. We assume 10 years of </w:t>
      </w:r>
      <w:r w:rsidR="00C92F25">
        <w:t>RDP</w:t>
      </w:r>
      <w:r w:rsidR="009624C3">
        <w:t xml:space="preserve"> protection</w:t>
      </w:r>
      <w:r w:rsidR="00F64D57">
        <w:t xml:space="preserve"> in the base case, 8.5 years given </w:t>
      </w:r>
      <w:r w:rsidR="4DF2D216">
        <w:t xml:space="preserve">the </w:t>
      </w:r>
      <w:r w:rsidR="00F64D57">
        <w:t>Commission</w:t>
      </w:r>
      <w:r w:rsidR="23605057">
        <w:t>’s</w:t>
      </w:r>
      <w:r w:rsidR="00F64D57">
        <w:t xml:space="preserve"> proposals and 12 years given EFPIA</w:t>
      </w:r>
      <w:r w:rsidR="0251DAEC">
        <w:t>’s</w:t>
      </w:r>
      <w:r w:rsidR="00F64D57">
        <w:t xml:space="preserve"> </w:t>
      </w:r>
      <w:r w:rsidR="3BA0E27B">
        <w:t>proposals. We also assume</w:t>
      </w:r>
      <w:r w:rsidR="009325A8">
        <w:t xml:space="preserve"> </w:t>
      </w:r>
      <w:r w:rsidR="00145675">
        <w:t xml:space="preserve">a 50% drop in </w:t>
      </w:r>
      <w:r>
        <w:t>patients treated</w:t>
      </w:r>
      <w:r w:rsidR="00145675">
        <w:t xml:space="preserve"> </w:t>
      </w:r>
      <w:r w:rsidR="00E1647F">
        <w:t xml:space="preserve">with the branded originator product </w:t>
      </w:r>
      <w:r w:rsidR="00145675">
        <w:t>and 10% drop in</w:t>
      </w:r>
      <w:r w:rsidR="00E1647F">
        <w:t xml:space="preserve"> originator</w:t>
      </w:r>
      <w:r w:rsidR="00145675">
        <w:t xml:space="preserve"> price </w:t>
      </w:r>
      <w:r w:rsidR="00E1647F">
        <w:t>o</w:t>
      </w:r>
      <w:r w:rsidR="5BC1E942">
        <w:t xml:space="preserve">ccurs </w:t>
      </w:r>
      <w:r w:rsidR="00145675">
        <w:t>at loss of exclusivity</w:t>
      </w:r>
      <w:r w:rsidR="00E1647F">
        <w:t>, leveraging Technopolis</w:t>
      </w:r>
      <w:r w:rsidR="00B44B08">
        <w:t>’</w:t>
      </w:r>
      <w:r w:rsidR="00E1647F">
        <w:t xml:space="preserve"> data on normalised sales for originator products</w:t>
      </w:r>
      <w:r w:rsidR="00E1647F">
        <w:rPr>
          <w:rStyle w:val="Refdenotaalpie"/>
        </w:rPr>
        <w:footnoteReference w:id="43"/>
      </w:r>
      <w:r w:rsidR="00145675">
        <w:t>.</w:t>
      </w:r>
    </w:p>
    <w:p w14:paraId="7030DE2B" w14:textId="06AF5402" w:rsidR="000F14E9" w:rsidRPr="000F14E9" w:rsidRDefault="000F14E9" w:rsidP="000F14E9">
      <w:pPr>
        <w:pStyle w:val="Descripcin"/>
        <w:rPr>
          <w:sz w:val="22"/>
          <w:szCs w:val="22"/>
        </w:rPr>
      </w:pPr>
      <w:bookmarkStart w:id="1" w:name="_Ref146570354"/>
      <w:r w:rsidRPr="000F14E9">
        <w:rPr>
          <w:sz w:val="22"/>
          <w:szCs w:val="22"/>
        </w:rPr>
        <w:t xml:space="preserve">Table </w:t>
      </w:r>
      <w:r w:rsidRPr="000F14E9">
        <w:rPr>
          <w:sz w:val="22"/>
          <w:szCs w:val="22"/>
        </w:rPr>
        <w:fldChar w:fldCharType="begin"/>
      </w:r>
      <w:r w:rsidRPr="000F14E9">
        <w:rPr>
          <w:sz w:val="22"/>
          <w:szCs w:val="22"/>
        </w:rPr>
        <w:instrText xml:space="preserve"> SEQ Table \* ARABIC </w:instrText>
      </w:r>
      <w:r w:rsidRPr="000F14E9">
        <w:rPr>
          <w:sz w:val="22"/>
          <w:szCs w:val="22"/>
        </w:rPr>
        <w:fldChar w:fldCharType="separate"/>
      </w:r>
      <w:r w:rsidR="00FF0723">
        <w:rPr>
          <w:noProof/>
          <w:sz w:val="22"/>
          <w:szCs w:val="22"/>
        </w:rPr>
        <w:t>1</w:t>
      </w:r>
      <w:r w:rsidRPr="000F14E9">
        <w:rPr>
          <w:sz w:val="22"/>
          <w:szCs w:val="22"/>
        </w:rPr>
        <w:fldChar w:fldCharType="end"/>
      </w:r>
      <w:bookmarkEnd w:id="1"/>
      <w:r w:rsidRPr="000F14E9">
        <w:rPr>
          <w:sz w:val="22"/>
          <w:szCs w:val="22"/>
        </w:rPr>
        <w:t>. Key assumptions relative to revenue estimates</w:t>
      </w:r>
    </w:p>
    <w:tbl>
      <w:tblPr>
        <w:tblStyle w:val="Tablaconcuadrcula"/>
        <w:tblW w:w="0" w:type="auto"/>
        <w:tblLook w:val="04A0" w:firstRow="1" w:lastRow="0" w:firstColumn="1" w:lastColumn="0" w:noHBand="0" w:noVBand="1"/>
      </w:tblPr>
      <w:tblGrid>
        <w:gridCol w:w="2030"/>
        <w:gridCol w:w="2030"/>
        <w:gridCol w:w="2031"/>
        <w:gridCol w:w="2925"/>
      </w:tblGrid>
      <w:tr w:rsidR="00D12BCA" w14:paraId="196AACB4" w14:textId="77777777" w:rsidTr="00F64D57">
        <w:trPr>
          <w:trHeight w:val="626"/>
        </w:trPr>
        <w:tc>
          <w:tcPr>
            <w:tcW w:w="2030" w:type="dxa"/>
            <w:vAlign w:val="center"/>
          </w:tcPr>
          <w:p w14:paraId="2AEFFC43" w14:textId="0AFB28D9" w:rsidR="00D12BCA" w:rsidRPr="00F448EA" w:rsidRDefault="00D12BCA" w:rsidP="00A87362">
            <w:pPr>
              <w:spacing w:after="120"/>
              <w:rPr>
                <w:b/>
              </w:rPr>
            </w:pPr>
            <w:r w:rsidRPr="00F448EA">
              <w:rPr>
                <w:b/>
              </w:rPr>
              <w:t>Archetype</w:t>
            </w:r>
          </w:p>
        </w:tc>
        <w:tc>
          <w:tcPr>
            <w:tcW w:w="2030" w:type="dxa"/>
            <w:vAlign w:val="center"/>
          </w:tcPr>
          <w:p w14:paraId="53AD7041" w14:textId="670231C8" w:rsidR="00D12BCA" w:rsidRPr="00F448EA" w:rsidRDefault="00D12BCA" w:rsidP="00A87362">
            <w:pPr>
              <w:spacing w:after="120"/>
              <w:rPr>
                <w:b/>
              </w:rPr>
            </w:pPr>
            <w:r w:rsidRPr="00F448EA">
              <w:rPr>
                <w:b/>
              </w:rPr>
              <w:t>Prevalence</w:t>
            </w:r>
          </w:p>
        </w:tc>
        <w:tc>
          <w:tcPr>
            <w:tcW w:w="2031" w:type="dxa"/>
            <w:vAlign w:val="center"/>
          </w:tcPr>
          <w:p w14:paraId="3FB84641" w14:textId="123BA251" w:rsidR="00D12BCA" w:rsidRPr="00F448EA" w:rsidRDefault="00D12BCA" w:rsidP="00A87362">
            <w:pPr>
              <w:spacing w:after="120"/>
              <w:rPr>
                <w:b/>
              </w:rPr>
            </w:pPr>
            <w:r w:rsidRPr="00F448EA">
              <w:rPr>
                <w:b/>
              </w:rPr>
              <w:t xml:space="preserve">German price (used </w:t>
            </w:r>
            <w:r w:rsidR="00F448EA" w:rsidRPr="00F448EA">
              <w:rPr>
                <w:b/>
                <w:bCs/>
              </w:rPr>
              <w:t>as anchor)</w:t>
            </w:r>
          </w:p>
        </w:tc>
        <w:tc>
          <w:tcPr>
            <w:tcW w:w="2925" w:type="dxa"/>
            <w:vAlign w:val="center"/>
          </w:tcPr>
          <w:p w14:paraId="1B6C00E2" w14:textId="08790570" w:rsidR="00D12BCA" w:rsidRPr="00F448EA" w:rsidRDefault="00F448EA" w:rsidP="00A87362">
            <w:pPr>
              <w:spacing w:after="120"/>
              <w:rPr>
                <w:b/>
              </w:rPr>
            </w:pPr>
            <w:r w:rsidRPr="00F448EA">
              <w:rPr>
                <w:b/>
                <w:bCs/>
              </w:rPr>
              <w:t>Peak share of prevalent patients treated</w:t>
            </w:r>
          </w:p>
        </w:tc>
      </w:tr>
      <w:tr w:rsidR="00D12BCA" w14:paraId="0F200728" w14:textId="77777777" w:rsidTr="00F64D57">
        <w:trPr>
          <w:trHeight w:val="626"/>
        </w:trPr>
        <w:tc>
          <w:tcPr>
            <w:tcW w:w="2030" w:type="dxa"/>
          </w:tcPr>
          <w:p w14:paraId="2C703D9F" w14:textId="61F5B726" w:rsidR="00D12BCA" w:rsidRDefault="00F448EA" w:rsidP="00A87362">
            <w:pPr>
              <w:spacing w:after="120"/>
            </w:pPr>
            <w:r>
              <w:t>Prevalent disease</w:t>
            </w:r>
          </w:p>
        </w:tc>
        <w:tc>
          <w:tcPr>
            <w:tcW w:w="2030" w:type="dxa"/>
          </w:tcPr>
          <w:p w14:paraId="68F8DA7F" w14:textId="771D67D5" w:rsidR="00D12BCA" w:rsidRDefault="00F448EA" w:rsidP="00A87362">
            <w:pPr>
              <w:spacing w:after="120"/>
            </w:pPr>
            <w:r>
              <w:t>1,000 per 10,</w:t>
            </w:r>
            <w:r w:rsidR="00511FC5">
              <w:t>000</w:t>
            </w:r>
          </w:p>
        </w:tc>
        <w:tc>
          <w:tcPr>
            <w:tcW w:w="2031" w:type="dxa"/>
          </w:tcPr>
          <w:p w14:paraId="2DE31CE5" w14:textId="2F799297" w:rsidR="00D12BCA" w:rsidRDefault="002B4A7D" w:rsidP="00A87362">
            <w:pPr>
              <w:spacing w:after="120"/>
            </w:pPr>
            <w:r>
              <w:t>€2,000</w:t>
            </w:r>
          </w:p>
        </w:tc>
        <w:tc>
          <w:tcPr>
            <w:tcW w:w="2925" w:type="dxa"/>
          </w:tcPr>
          <w:p w14:paraId="7CD84019" w14:textId="07F81E8F" w:rsidR="00D12BCA" w:rsidRDefault="002B4A7D" w:rsidP="00A87362">
            <w:pPr>
              <w:spacing w:after="120"/>
            </w:pPr>
            <w:r>
              <w:t>1%</w:t>
            </w:r>
          </w:p>
        </w:tc>
      </w:tr>
      <w:tr w:rsidR="00D12BCA" w14:paraId="1C0738A3" w14:textId="77777777" w:rsidTr="00F64D57">
        <w:trPr>
          <w:trHeight w:val="626"/>
        </w:trPr>
        <w:tc>
          <w:tcPr>
            <w:tcW w:w="2030" w:type="dxa"/>
          </w:tcPr>
          <w:p w14:paraId="5ABF379C" w14:textId="7BED7717" w:rsidR="00D12BCA" w:rsidRDefault="002B4A7D" w:rsidP="00A87362">
            <w:pPr>
              <w:spacing w:after="120"/>
            </w:pPr>
            <w:r>
              <w:t xml:space="preserve">Rare disease </w:t>
            </w:r>
          </w:p>
        </w:tc>
        <w:tc>
          <w:tcPr>
            <w:tcW w:w="2030" w:type="dxa"/>
          </w:tcPr>
          <w:p w14:paraId="74C550B5" w14:textId="6181E69E" w:rsidR="00D12BCA" w:rsidRDefault="0012396B" w:rsidP="00A87362">
            <w:pPr>
              <w:spacing w:after="120"/>
            </w:pPr>
            <w:r>
              <w:t>1 per 10,000</w:t>
            </w:r>
          </w:p>
        </w:tc>
        <w:tc>
          <w:tcPr>
            <w:tcW w:w="2031" w:type="dxa"/>
          </w:tcPr>
          <w:p w14:paraId="50B62551" w14:textId="705465A3" w:rsidR="00D12BCA" w:rsidRDefault="0012396B" w:rsidP="00A87362">
            <w:pPr>
              <w:spacing w:after="120"/>
            </w:pPr>
            <w:r>
              <w:t>€100,000</w:t>
            </w:r>
          </w:p>
        </w:tc>
        <w:tc>
          <w:tcPr>
            <w:tcW w:w="2925" w:type="dxa"/>
          </w:tcPr>
          <w:p w14:paraId="76C26E1D" w14:textId="69E5F2CC" w:rsidR="00D12BCA" w:rsidRDefault="0012396B" w:rsidP="00A87362">
            <w:pPr>
              <w:spacing w:after="120"/>
            </w:pPr>
            <w:r>
              <w:t>15%</w:t>
            </w:r>
          </w:p>
        </w:tc>
      </w:tr>
    </w:tbl>
    <w:p w14:paraId="690EDD9A" w14:textId="2C181041" w:rsidR="009322F1" w:rsidRDefault="00875A26" w:rsidP="00875A26">
      <w:pPr>
        <w:spacing w:before="240"/>
        <w:jc w:val="both"/>
      </w:pPr>
      <w:r>
        <w:rPr>
          <w:b/>
          <w:bCs/>
        </w:rPr>
        <w:t xml:space="preserve">Costs. </w:t>
      </w:r>
      <w:r w:rsidR="00693BBC">
        <w:t>COGS</w:t>
      </w:r>
      <w:r w:rsidR="009D3B6C">
        <w:t xml:space="preserve"> </w:t>
      </w:r>
      <w:r>
        <w:t>are</w:t>
      </w:r>
      <w:r w:rsidR="009D3B6C">
        <w:t xml:space="preserve"> estimated to account for 29% of revenue based on a review of company annual reports</w:t>
      </w:r>
      <w:r w:rsidR="003C3C01">
        <w:t xml:space="preserve">. </w:t>
      </w:r>
      <w:r w:rsidR="00C65713">
        <w:t>SG&amp;A</w:t>
      </w:r>
      <w:r>
        <w:t xml:space="preserve"> costs</w:t>
      </w:r>
      <w:r w:rsidR="00C65713">
        <w:t xml:space="preserve"> </w:t>
      </w:r>
      <w:r>
        <w:t>are</w:t>
      </w:r>
      <w:r w:rsidR="001A2DB6">
        <w:t xml:space="preserve"> differentiated </w:t>
      </w:r>
      <w:r>
        <w:t>between</w:t>
      </w:r>
      <w:r w:rsidR="001A2DB6">
        <w:t xml:space="preserve"> small and large companies</w:t>
      </w:r>
      <w:r>
        <w:t>: SMEs ar</w:t>
      </w:r>
      <w:r w:rsidR="003174B4">
        <w:t xml:space="preserve">e assumed to have annual </w:t>
      </w:r>
      <w:r w:rsidR="00901FA1">
        <w:t xml:space="preserve">overheads </w:t>
      </w:r>
      <w:r w:rsidR="003174B4">
        <w:t>varying between €5 million and €2</w:t>
      </w:r>
      <w:r w:rsidR="00901FA1">
        <w:t>0</w:t>
      </w:r>
      <w:r w:rsidR="003174B4">
        <w:t xml:space="preserve"> million based on country size, </w:t>
      </w:r>
      <w:r w:rsidR="00901FA1">
        <w:t>while</w:t>
      </w:r>
      <w:r w:rsidR="003174B4">
        <w:t xml:space="preserve"> large companies </w:t>
      </w:r>
      <w:r w:rsidR="00901FA1">
        <w:t>are</w:t>
      </w:r>
      <w:r w:rsidR="003174B4">
        <w:t xml:space="preserve"> assumed to have </w:t>
      </w:r>
      <w:r w:rsidR="00901FA1">
        <w:t>yearly</w:t>
      </w:r>
      <w:r w:rsidR="003174B4">
        <w:t xml:space="preserve"> SG&amp;A vary</w:t>
      </w:r>
      <w:r w:rsidR="00B44B08">
        <w:t>ing</w:t>
      </w:r>
      <w:r w:rsidR="003174B4">
        <w:t xml:space="preserve"> between </w:t>
      </w:r>
      <w:r w:rsidR="00E44CA1">
        <w:t>€2 and €10 million</w:t>
      </w:r>
      <w:r w:rsidR="00901FA1">
        <w:t xml:space="preserve">. That is because we consider that </w:t>
      </w:r>
      <w:r w:rsidR="00051F11">
        <w:t>marginal overheads are spread across more products in larger companies than smaller ones.</w:t>
      </w:r>
    </w:p>
    <w:p w14:paraId="3F2EBB16" w14:textId="007667ED" w:rsidR="00F97934" w:rsidRPr="00F97934" w:rsidRDefault="00F97934" w:rsidP="00875A26">
      <w:pPr>
        <w:spacing w:before="240"/>
        <w:jc w:val="both"/>
      </w:pPr>
      <w:r>
        <w:rPr>
          <w:b/>
          <w:bCs/>
        </w:rPr>
        <w:t>Time.</w:t>
      </w:r>
      <w:r>
        <w:t xml:space="preserve"> We consider time to patient access varying from zero to three years, based on the EFPIA WAIT indicator</w:t>
      </w:r>
      <w:r w:rsidR="00905B6C">
        <w:rPr>
          <w:rStyle w:val="Refdenotaalpie"/>
        </w:rPr>
        <w:footnoteReference w:id="44"/>
      </w:r>
      <w:r>
        <w:t>.</w:t>
      </w:r>
    </w:p>
    <w:p w14:paraId="3D3AAB45" w14:textId="192E7C44" w:rsidR="0098418A" w:rsidRDefault="0023617A">
      <w:pPr>
        <w:rPr>
          <w:rFonts w:eastAsiaTheme="majorEastAsia" w:cstheme="majorBidi"/>
          <w:b/>
          <w:bCs/>
          <w:sz w:val="28"/>
          <w:szCs w:val="28"/>
        </w:rPr>
      </w:pPr>
      <w:r>
        <w:t xml:space="preserve">The model is structured to yield a binary prediction as to whether launch </w:t>
      </w:r>
      <w:proofErr w:type="gramStart"/>
      <w:r>
        <w:t>in a given</w:t>
      </w:r>
      <w:proofErr w:type="gramEnd"/>
      <w:r>
        <w:t xml:space="preserve"> country is expected, based on a positive vs negative NPV at the time of regulatory approval.</w:t>
      </w:r>
      <w:r w:rsidR="0098418A">
        <w:br w:type="page"/>
      </w:r>
    </w:p>
    <w:p w14:paraId="19AB0DA6" w14:textId="18A2EBBF" w:rsidR="003D3DCD" w:rsidRPr="004C5A19" w:rsidRDefault="003D3DCD" w:rsidP="00D71DFE">
      <w:pPr>
        <w:pStyle w:val="Heading1noborder"/>
      </w:pPr>
      <w:r w:rsidRPr="004C5A19">
        <w:lastRenderedPageBreak/>
        <w:t xml:space="preserve">Results and discussion </w:t>
      </w:r>
    </w:p>
    <w:p w14:paraId="4A80F8FB" w14:textId="48091105" w:rsidR="00EE5335" w:rsidRPr="00384923" w:rsidRDefault="00EE5335" w:rsidP="00996A7B">
      <w:pPr>
        <w:pStyle w:val="Ttulo2"/>
        <w:rPr>
          <w:i/>
          <w:iCs/>
        </w:rPr>
      </w:pPr>
      <w:r>
        <w:t>EU innovation.</w:t>
      </w:r>
      <w:r w:rsidR="00384923">
        <w:t xml:space="preserve"> We find that </w:t>
      </w:r>
      <w:r w:rsidR="01368F49">
        <w:t>the</w:t>
      </w:r>
      <w:r w:rsidR="00384923">
        <w:t xml:space="preserve"> changes proposed by the Commission have significant detrimental impacts on the investment proposition within Europe, while those proposed by EFPIA maintain the </w:t>
      </w:r>
      <w:proofErr w:type="gramStart"/>
      <w:r w:rsidR="00384923">
        <w:rPr>
          <w:i/>
          <w:iCs/>
        </w:rPr>
        <w:t>status quo</w:t>
      </w:r>
      <w:proofErr w:type="gramEnd"/>
    </w:p>
    <w:p w14:paraId="5A60D1A4" w14:textId="272F4142" w:rsidR="00B077C8" w:rsidRDefault="00384923" w:rsidP="00384923">
      <w:pPr>
        <w:jc w:val="both"/>
      </w:pPr>
      <w:r>
        <w:t xml:space="preserve">Results </w:t>
      </w:r>
      <w:r w:rsidR="00645548">
        <w:t xml:space="preserve">relative </w:t>
      </w:r>
      <w:r>
        <w:t xml:space="preserve">to the impact on innovation in Europe of </w:t>
      </w:r>
      <w:r w:rsidR="3974DE16" w:rsidRPr="00DC5680">
        <w:t xml:space="preserve">the </w:t>
      </w:r>
      <w:r w:rsidRPr="00DC5680">
        <w:t>Commission proposals and</w:t>
      </w:r>
      <w:r>
        <w:t xml:space="preserve"> EFPIA</w:t>
      </w:r>
      <w:r w:rsidR="7A393FFF">
        <w:t>’s</w:t>
      </w:r>
      <w:r>
        <w:t xml:space="preserve"> counterproposals are presented in </w:t>
      </w:r>
      <w:r>
        <w:fldChar w:fldCharType="begin"/>
      </w:r>
      <w:r>
        <w:instrText xml:space="preserve"> REF _Ref146574440 \h </w:instrText>
      </w:r>
      <w:r>
        <w:fldChar w:fldCharType="separate"/>
      </w:r>
      <w:r w:rsidRPr="0063249D">
        <w:t xml:space="preserve">Table </w:t>
      </w:r>
      <w:r>
        <w:rPr>
          <w:noProof/>
        </w:rPr>
        <w:t>2</w:t>
      </w:r>
      <w:r>
        <w:fldChar w:fldCharType="end"/>
      </w:r>
      <w:r>
        <w:t xml:space="preserve">. </w:t>
      </w:r>
      <w:r w:rsidR="0028374C" w:rsidRPr="001D09ED">
        <w:t>Our modelling suggests that</w:t>
      </w:r>
      <w:r w:rsidR="0028374C">
        <w:t xml:space="preserve"> </w:t>
      </w:r>
      <w:r w:rsidR="788BA5C0">
        <w:t>the</w:t>
      </w:r>
      <w:r w:rsidR="0028374C" w:rsidRPr="001D09ED">
        <w:t xml:space="preserve"> changes proposed by the Commission would decrease the amount of innovation expected in Europe by 22%, which equates to a ‘</w:t>
      </w:r>
      <w:proofErr w:type="gramStart"/>
      <w:r w:rsidR="0028374C" w:rsidRPr="001D09ED">
        <w:t>loss’</w:t>
      </w:r>
      <w:proofErr w:type="gramEnd"/>
      <w:r w:rsidR="0028374C" w:rsidRPr="001D09ED">
        <w:t xml:space="preserve"> of </w:t>
      </w:r>
      <w:r w:rsidR="0046597F">
        <w:t>50</w:t>
      </w:r>
      <w:r w:rsidR="0028374C" w:rsidRPr="001D09ED">
        <w:t xml:space="preserve"> products between 2020-2035 compared to what would have been expected without a revision of the regulation. The key driver </w:t>
      </w:r>
      <w:r w:rsidR="001D09ED" w:rsidRPr="001D09ED">
        <w:t xml:space="preserve">of </w:t>
      </w:r>
      <w:r>
        <w:t xml:space="preserve">this negative impact is the shortened duration of RDP; a secondary driver is the increase in costs incurred by industry </w:t>
      </w:r>
      <w:proofErr w:type="gramStart"/>
      <w:r>
        <w:t>as a result of</w:t>
      </w:r>
      <w:proofErr w:type="gramEnd"/>
      <w:r>
        <w:t xml:space="preserve"> the Commitment to file. </w:t>
      </w:r>
    </w:p>
    <w:p w14:paraId="2CB29787" w14:textId="7671AE2B" w:rsidR="0028374C" w:rsidRPr="00384923" w:rsidRDefault="00384923" w:rsidP="00384923">
      <w:pPr>
        <w:jc w:val="both"/>
      </w:pPr>
      <w:r w:rsidRPr="00384923">
        <w:t xml:space="preserve">Conversely, </w:t>
      </w:r>
      <w:r w:rsidR="0028374C" w:rsidRPr="00384923">
        <w:t xml:space="preserve">changes proposed by EFPIA </w:t>
      </w:r>
      <w:r>
        <w:t xml:space="preserve">stand to </w:t>
      </w:r>
      <w:r w:rsidR="00257A0B">
        <w:t xml:space="preserve">drive </w:t>
      </w:r>
      <w:r>
        <w:t xml:space="preserve">little </w:t>
      </w:r>
      <w:r w:rsidR="00257A0B">
        <w:t xml:space="preserve">change </w:t>
      </w:r>
      <w:r>
        <w:t>on incentives for innovation compared to those provided by the current ecosystem.</w:t>
      </w:r>
      <w:r w:rsidR="00B077C8">
        <w:t xml:space="preserve"> It should be noted that this result reflects two opposite influences on the investment proposition entailed by EFPIA counterproposals: on the one hand, the EFPIA Commitment to File (aimed at enhancing access) increases costs for developers in the short term; on the other hand, EFPIA’s proposal to strengthen RDP expands IP protection in the long term.</w:t>
      </w:r>
      <w:r w:rsidR="00257A0B">
        <w:t xml:space="preserve"> The rNPV methodology, which discounts all future costs and revenues, places more emphasis on the short-term expense associated with the Commitment to File than the long-term benefits of lengthier IP.</w:t>
      </w:r>
    </w:p>
    <w:p w14:paraId="74BB718D" w14:textId="7BA5FF23" w:rsidR="004C27AA" w:rsidRDefault="0063249D" w:rsidP="00311BA5">
      <w:pPr>
        <w:pStyle w:val="Descripcin"/>
        <w:jc w:val="both"/>
        <w:rPr>
          <w:i/>
          <w:iCs/>
          <w:sz w:val="22"/>
          <w:szCs w:val="22"/>
        </w:rPr>
      </w:pPr>
      <w:bookmarkStart w:id="2" w:name="_Ref146574440"/>
      <w:r w:rsidRPr="0063249D">
        <w:rPr>
          <w:sz w:val="22"/>
          <w:szCs w:val="22"/>
        </w:rPr>
        <w:t xml:space="preserve">Table </w:t>
      </w:r>
      <w:r w:rsidRPr="0063249D">
        <w:rPr>
          <w:sz w:val="22"/>
          <w:szCs w:val="22"/>
        </w:rPr>
        <w:fldChar w:fldCharType="begin"/>
      </w:r>
      <w:r w:rsidRPr="0063249D">
        <w:rPr>
          <w:sz w:val="22"/>
          <w:szCs w:val="22"/>
        </w:rPr>
        <w:instrText xml:space="preserve"> SEQ Table \* ARABIC </w:instrText>
      </w:r>
      <w:r w:rsidRPr="0063249D">
        <w:rPr>
          <w:sz w:val="22"/>
          <w:szCs w:val="22"/>
        </w:rPr>
        <w:fldChar w:fldCharType="separate"/>
      </w:r>
      <w:r w:rsidR="00FF0723">
        <w:rPr>
          <w:noProof/>
          <w:sz w:val="22"/>
          <w:szCs w:val="22"/>
        </w:rPr>
        <w:t>2</w:t>
      </w:r>
      <w:r w:rsidRPr="0063249D">
        <w:rPr>
          <w:sz w:val="22"/>
          <w:szCs w:val="22"/>
        </w:rPr>
        <w:fldChar w:fldCharType="end"/>
      </w:r>
      <w:bookmarkEnd w:id="2"/>
      <w:r w:rsidRPr="0063249D">
        <w:rPr>
          <w:sz w:val="22"/>
          <w:szCs w:val="22"/>
        </w:rPr>
        <w:t xml:space="preserve">. Incentives for innovation in Europe for products relying on RDP given the current legislative ecosystem, Commission proposals and EFPIA </w:t>
      </w:r>
      <w:proofErr w:type="gramStart"/>
      <w:r w:rsidRPr="0063249D">
        <w:rPr>
          <w:sz w:val="22"/>
          <w:szCs w:val="22"/>
        </w:rPr>
        <w:t>counterproposals</w:t>
      </w:r>
      <w:proofErr w:type="gramEnd"/>
      <w:r w:rsidRPr="0063249D">
        <w:rPr>
          <w:i/>
          <w:iCs/>
          <w:sz w:val="22"/>
          <w:szCs w:val="22"/>
        </w:rPr>
        <w:t xml:space="preserve"> </w:t>
      </w:r>
    </w:p>
    <w:tbl>
      <w:tblPr>
        <w:tblStyle w:val="Tablaconcuadrcula"/>
        <w:tblW w:w="0" w:type="auto"/>
        <w:tblLook w:val="04A0" w:firstRow="1" w:lastRow="0" w:firstColumn="1" w:lastColumn="0" w:noHBand="0" w:noVBand="1"/>
      </w:tblPr>
      <w:tblGrid>
        <w:gridCol w:w="2254"/>
        <w:gridCol w:w="2254"/>
        <w:gridCol w:w="2254"/>
        <w:gridCol w:w="2254"/>
      </w:tblGrid>
      <w:tr w:rsidR="00311BA5" w14:paraId="7AE77567" w14:textId="77777777" w:rsidTr="0028374C">
        <w:trPr>
          <w:trHeight w:val="506"/>
        </w:trPr>
        <w:tc>
          <w:tcPr>
            <w:tcW w:w="2254" w:type="dxa"/>
            <w:shd w:val="clear" w:color="auto" w:fill="EEECE1" w:themeFill="background2"/>
            <w:vAlign w:val="center"/>
          </w:tcPr>
          <w:p w14:paraId="29D1FAD3" w14:textId="5DF7BA82" w:rsidR="00311BA5" w:rsidRPr="00D42E71" w:rsidRDefault="00311BA5" w:rsidP="00D42E71">
            <w:pPr>
              <w:rPr>
                <w:b/>
                <w:bCs/>
                <w:lang w:val="en-US" w:eastAsia="ja-JP"/>
              </w:rPr>
            </w:pPr>
            <w:r w:rsidRPr="00D42E71">
              <w:rPr>
                <w:b/>
                <w:bCs/>
                <w:lang w:val="en-US" w:eastAsia="ja-JP"/>
              </w:rPr>
              <w:t>Model results</w:t>
            </w:r>
          </w:p>
        </w:tc>
        <w:tc>
          <w:tcPr>
            <w:tcW w:w="2254" w:type="dxa"/>
            <w:shd w:val="clear" w:color="auto" w:fill="EEECE1" w:themeFill="background2"/>
            <w:vAlign w:val="center"/>
          </w:tcPr>
          <w:p w14:paraId="779034D6" w14:textId="10A140B8" w:rsidR="00311BA5" w:rsidRPr="00D42E71" w:rsidRDefault="00311BA5" w:rsidP="00D42E71">
            <w:pPr>
              <w:rPr>
                <w:b/>
                <w:bCs/>
                <w:lang w:val="en-US" w:eastAsia="ja-JP"/>
              </w:rPr>
            </w:pPr>
            <w:r w:rsidRPr="00D42E71">
              <w:rPr>
                <w:b/>
                <w:bCs/>
                <w:lang w:val="en-US" w:eastAsia="ja-JP"/>
              </w:rPr>
              <w:t>Current ecosystem</w:t>
            </w:r>
          </w:p>
        </w:tc>
        <w:tc>
          <w:tcPr>
            <w:tcW w:w="2254" w:type="dxa"/>
            <w:shd w:val="clear" w:color="auto" w:fill="EEECE1" w:themeFill="background2"/>
            <w:vAlign w:val="center"/>
          </w:tcPr>
          <w:p w14:paraId="7247DAD1" w14:textId="0EBF5EE7" w:rsidR="00311BA5" w:rsidRPr="00D42E71" w:rsidRDefault="00311BA5" w:rsidP="00D42E71">
            <w:pPr>
              <w:rPr>
                <w:b/>
                <w:bCs/>
                <w:lang w:val="en-US" w:eastAsia="ja-JP"/>
              </w:rPr>
            </w:pPr>
            <w:r w:rsidRPr="00D42E71">
              <w:rPr>
                <w:b/>
                <w:bCs/>
                <w:lang w:val="en-US" w:eastAsia="ja-JP"/>
              </w:rPr>
              <w:t>Commission proposals</w:t>
            </w:r>
          </w:p>
        </w:tc>
        <w:tc>
          <w:tcPr>
            <w:tcW w:w="2254" w:type="dxa"/>
            <w:shd w:val="clear" w:color="auto" w:fill="EEECE1" w:themeFill="background2"/>
            <w:vAlign w:val="center"/>
          </w:tcPr>
          <w:p w14:paraId="49A2857A" w14:textId="4EE218E7" w:rsidR="00311BA5" w:rsidRPr="00D42E71" w:rsidRDefault="00311BA5" w:rsidP="00D42E71">
            <w:pPr>
              <w:rPr>
                <w:b/>
                <w:bCs/>
                <w:lang w:val="en-US" w:eastAsia="ja-JP"/>
              </w:rPr>
            </w:pPr>
            <w:r w:rsidRPr="00D42E71">
              <w:rPr>
                <w:b/>
                <w:bCs/>
                <w:lang w:val="en-US" w:eastAsia="ja-JP"/>
              </w:rPr>
              <w:t>EFPIA counterp</w:t>
            </w:r>
            <w:r w:rsidR="00114A4F">
              <w:rPr>
                <w:b/>
                <w:bCs/>
                <w:lang w:val="en-US" w:eastAsia="ja-JP"/>
              </w:rPr>
              <w:t>ro</w:t>
            </w:r>
            <w:r w:rsidRPr="00D42E71">
              <w:rPr>
                <w:b/>
                <w:bCs/>
                <w:lang w:val="en-US" w:eastAsia="ja-JP"/>
              </w:rPr>
              <w:t>posals</w:t>
            </w:r>
          </w:p>
        </w:tc>
      </w:tr>
      <w:tr w:rsidR="00311BA5" w14:paraId="490D8528" w14:textId="77777777" w:rsidTr="00D42E71">
        <w:trPr>
          <w:trHeight w:val="506"/>
        </w:trPr>
        <w:tc>
          <w:tcPr>
            <w:tcW w:w="2254" w:type="dxa"/>
            <w:vAlign w:val="center"/>
          </w:tcPr>
          <w:p w14:paraId="1C8FF9B0" w14:textId="50F02D4F" w:rsidR="00D42E71" w:rsidRDefault="00D42E71" w:rsidP="00D42E71">
            <w:pPr>
              <w:rPr>
                <w:lang w:val="en-US" w:eastAsia="ja-JP"/>
              </w:rPr>
            </w:pPr>
            <w:r>
              <w:rPr>
                <w:lang w:val="en-US" w:eastAsia="ja-JP"/>
              </w:rPr>
              <w:t>Average rNPV</w:t>
            </w:r>
          </w:p>
        </w:tc>
        <w:tc>
          <w:tcPr>
            <w:tcW w:w="2254" w:type="dxa"/>
            <w:vAlign w:val="center"/>
          </w:tcPr>
          <w:p w14:paraId="5A6AA5C9" w14:textId="29C8F42C" w:rsidR="00311BA5" w:rsidRDefault="00D42E71" w:rsidP="00D42E71">
            <w:pPr>
              <w:rPr>
                <w:lang w:val="en-US" w:eastAsia="ja-JP"/>
              </w:rPr>
            </w:pPr>
            <w:r>
              <w:rPr>
                <w:rFonts w:cs="Arial"/>
                <w:lang w:val="en-US" w:eastAsia="ja-JP"/>
              </w:rPr>
              <w:t>€10.1 million</w:t>
            </w:r>
          </w:p>
        </w:tc>
        <w:tc>
          <w:tcPr>
            <w:tcW w:w="2254" w:type="dxa"/>
            <w:vAlign w:val="center"/>
          </w:tcPr>
          <w:p w14:paraId="4866E97C" w14:textId="79581EA3" w:rsidR="00311BA5" w:rsidRDefault="00D42E71" w:rsidP="00D42E71">
            <w:pPr>
              <w:rPr>
                <w:lang w:val="en-US" w:eastAsia="ja-JP"/>
              </w:rPr>
            </w:pPr>
            <w:r>
              <w:rPr>
                <w:rFonts w:cs="Arial"/>
                <w:lang w:val="en-US" w:eastAsia="ja-JP"/>
              </w:rPr>
              <w:t>€4.6 million</w:t>
            </w:r>
          </w:p>
        </w:tc>
        <w:tc>
          <w:tcPr>
            <w:tcW w:w="2254" w:type="dxa"/>
            <w:vAlign w:val="center"/>
          </w:tcPr>
          <w:p w14:paraId="2F180F3E" w14:textId="023390C0" w:rsidR="00311BA5" w:rsidRDefault="00D42E71" w:rsidP="00D42E71">
            <w:pPr>
              <w:rPr>
                <w:lang w:val="en-US" w:eastAsia="ja-JP"/>
              </w:rPr>
            </w:pPr>
            <w:r>
              <w:rPr>
                <w:rFonts w:cs="Arial"/>
                <w:lang w:val="en-US" w:eastAsia="ja-JP"/>
              </w:rPr>
              <w:t>€</w:t>
            </w:r>
            <w:r w:rsidR="00B077C8">
              <w:rPr>
                <w:rFonts w:cs="Arial"/>
                <w:lang w:val="en-US" w:eastAsia="ja-JP"/>
              </w:rPr>
              <w:t>10.3</w:t>
            </w:r>
            <w:r>
              <w:rPr>
                <w:rFonts w:cs="Arial"/>
                <w:lang w:val="en-US" w:eastAsia="ja-JP"/>
              </w:rPr>
              <w:t xml:space="preserve"> million</w:t>
            </w:r>
          </w:p>
        </w:tc>
      </w:tr>
      <w:tr w:rsidR="00D42E71" w14:paraId="4328F717" w14:textId="77777777" w:rsidTr="00D42E71">
        <w:trPr>
          <w:trHeight w:val="506"/>
        </w:trPr>
        <w:tc>
          <w:tcPr>
            <w:tcW w:w="2254" w:type="dxa"/>
            <w:vAlign w:val="center"/>
          </w:tcPr>
          <w:p w14:paraId="32A556D9" w14:textId="04E832E8" w:rsidR="00D42E71" w:rsidRPr="00D42E71" w:rsidRDefault="00D42E71" w:rsidP="00D42E71">
            <w:pPr>
              <w:rPr>
                <w:i/>
                <w:iCs/>
                <w:lang w:val="en-US" w:eastAsia="ja-JP"/>
              </w:rPr>
            </w:pPr>
            <w:r>
              <w:rPr>
                <w:i/>
                <w:iCs/>
                <w:lang w:val="en-US" w:eastAsia="ja-JP"/>
              </w:rPr>
              <w:t>Change vs. current ecosystem</w:t>
            </w:r>
          </w:p>
        </w:tc>
        <w:tc>
          <w:tcPr>
            <w:tcW w:w="2254" w:type="dxa"/>
            <w:vAlign w:val="center"/>
          </w:tcPr>
          <w:p w14:paraId="0C019555" w14:textId="58A7B018" w:rsidR="00D42E71" w:rsidRDefault="00D42E71" w:rsidP="00D42E71">
            <w:pPr>
              <w:rPr>
                <w:lang w:val="en-US" w:eastAsia="ja-JP"/>
              </w:rPr>
            </w:pPr>
            <w:r>
              <w:rPr>
                <w:lang w:val="en-US" w:eastAsia="ja-JP"/>
              </w:rPr>
              <w:t>-</w:t>
            </w:r>
          </w:p>
        </w:tc>
        <w:tc>
          <w:tcPr>
            <w:tcW w:w="2254" w:type="dxa"/>
            <w:vAlign w:val="center"/>
          </w:tcPr>
          <w:p w14:paraId="33CA90D5" w14:textId="58EF8D0B" w:rsidR="00D42E71" w:rsidRDefault="00D42E71" w:rsidP="00D42E71">
            <w:pPr>
              <w:rPr>
                <w:lang w:val="en-US" w:eastAsia="ja-JP"/>
              </w:rPr>
            </w:pPr>
            <w:r>
              <w:rPr>
                <w:lang w:val="en-US" w:eastAsia="ja-JP"/>
              </w:rPr>
              <w:t>-55%</w:t>
            </w:r>
          </w:p>
        </w:tc>
        <w:tc>
          <w:tcPr>
            <w:tcW w:w="2254" w:type="dxa"/>
            <w:vAlign w:val="center"/>
          </w:tcPr>
          <w:p w14:paraId="7D2302A2" w14:textId="0F44C33C" w:rsidR="00D42E71" w:rsidRDefault="00257A0B" w:rsidP="00D42E71">
            <w:pPr>
              <w:rPr>
                <w:lang w:val="en-US" w:eastAsia="ja-JP"/>
              </w:rPr>
            </w:pPr>
            <w:r>
              <w:rPr>
                <w:lang w:val="en-US" w:eastAsia="ja-JP"/>
              </w:rPr>
              <w:t>+2</w:t>
            </w:r>
            <w:r w:rsidR="00D42E71">
              <w:rPr>
                <w:lang w:val="en-US" w:eastAsia="ja-JP"/>
              </w:rPr>
              <w:t>%</w:t>
            </w:r>
          </w:p>
        </w:tc>
      </w:tr>
      <w:tr w:rsidR="00311BA5" w14:paraId="3F3DDFD6" w14:textId="77777777" w:rsidTr="00D42E71">
        <w:trPr>
          <w:trHeight w:val="506"/>
        </w:trPr>
        <w:tc>
          <w:tcPr>
            <w:tcW w:w="2254" w:type="dxa"/>
            <w:vAlign w:val="center"/>
          </w:tcPr>
          <w:p w14:paraId="26BA1BE3" w14:textId="57C759C4" w:rsidR="00311BA5" w:rsidRDefault="00D42E71" w:rsidP="00D42E71">
            <w:pPr>
              <w:rPr>
                <w:lang w:val="en-US" w:eastAsia="ja-JP"/>
              </w:rPr>
            </w:pPr>
            <w:r>
              <w:rPr>
                <w:lang w:val="en-US" w:eastAsia="ja-JP"/>
              </w:rPr>
              <w:t xml:space="preserve">Innovation expected by 2035 </w:t>
            </w:r>
          </w:p>
        </w:tc>
        <w:tc>
          <w:tcPr>
            <w:tcW w:w="2254" w:type="dxa"/>
            <w:vAlign w:val="center"/>
          </w:tcPr>
          <w:p w14:paraId="4CCC8A76" w14:textId="40AA7089" w:rsidR="00311BA5" w:rsidRDefault="00D42E71" w:rsidP="00D42E71">
            <w:pPr>
              <w:rPr>
                <w:lang w:val="en-US" w:eastAsia="ja-JP"/>
              </w:rPr>
            </w:pPr>
            <w:r>
              <w:rPr>
                <w:lang w:val="en-US" w:eastAsia="ja-JP"/>
              </w:rPr>
              <w:t>225 products</w:t>
            </w:r>
          </w:p>
        </w:tc>
        <w:tc>
          <w:tcPr>
            <w:tcW w:w="2254" w:type="dxa"/>
            <w:vAlign w:val="center"/>
          </w:tcPr>
          <w:p w14:paraId="5DE8B725" w14:textId="2B5DA00B" w:rsidR="00311BA5" w:rsidRDefault="00D42E71" w:rsidP="00D42E71">
            <w:pPr>
              <w:rPr>
                <w:lang w:val="en-US" w:eastAsia="ja-JP"/>
              </w:rPr>
            </w:pPr>
            <w:r>
              <w:rPr>
                <w:lang w:val="en-US" w:eastAsia="ja-JP"/>
              </w:rPr>
              <w:t>1</w:t>
            </w:r>
            <w:r w:rsidR="00114A4F">
              <w:rPr>
                <w:lang w:val="en-US" w:eastAsia="ja-JP"/>
              </w:rPr>
              <w:t>75</w:t>
            </w:r>
            <w:r>
              <w:rPr>
                <w:lang w:val="en-US" w:eastAsia="ja-JP"/>
              </w:rPr>
              <w:t xml:space="preserve"> products </w:t>
            </w:r>
          </w:p>
        </w:tc>
        <w:tc>
          <w:tcPr>
            <w:tcW w:w="2254" w:type="dxa"/>
            <w:vAlign w:val="center"/>
          </w:tcPr>
          <w:p w14:paraId="43C6DDF5" w14:textId="5C029217" w:rsidR="00311BA5" w:rsidRDefault="00D42E71" w:rsidP="00D42E71">
            <w:pPr>
              <w:rPr>
                <w:lang w:val="en-US" w:eastAsia="ja-JP"/>
              </w:rPr>
            </w:pPr>
            <w:r>
              <w:rPr>
                <w:lang w:val="en-US" w:eastAsia="ja-JP"/>
              </w:rPr>
              <w:t>2</w:t>
            </w:r>
            <w:r w:rsidR="00257A0B">
              <w:rPr>
                <w:lang w:val="en-US" w:eastAsia="ja-JP"/>
              </w:rPr>
              <w:t>21</w:t>
            </w:r>
            <w:r>
              <w:rPr>
                <w:lang w:val="en-US" w:eastAsia="ja-JP"/>
              </w:rPr>
              <w:t xml:space="preserve"> products </w:t>
            </w:r>
          </w:p>
        </w:tc>
      </w:tr>
      <w:tr w:rsidR="00D42E71" w14:paraId="22646BA5" w14:textId="77777777" w:rsidTr="00D42E71">
        <w:trPr>
          <w:trHeight w:val="506"/>
        </w:trPr>
        <w:tc>
          <w:tcPr>
            <w:tcW w:w="2254" w:type="dxa"/>
            <w:vAlign w:val="center"/>
          </w:tcPr>
          <w:p w14:paraId="12E821AF" w14:textId="08770280" w:rsidR="00D42E71" w:rsidRDefault="00D42E71" w:rsidP="00D42E71">
            <w:pPr>
              <w:rPr>
                <w:lang w:val="en-US" w:eastAsia="ja-JP"/>
              </w:rPr>
            </w:pPr>
            <w:r>
              <w:rPr>
                <w:i/>
                <w:iCs/>
                <w:lang w:val="en-US" w:eastAsia="ja-JP"/>
              </w:rPr>
              <w:t>Change vs. current ecosystem</w:t>
            </w:r>
          </w:p>
        </w:tc>
        <w:tc>
          <w:tcPr>
            <w:tcW w:w="2254" w:type="dxa"/>
            <w:vAlign w:val="center"/>
          </w:tcPr>
          <w:p w14:paraId="6E60F80F" w14:textId="341B64C5" w:rsidR="00D42E71" w:rsidRDefault="00D42E71" w:rsidP="00D42E71">
            <w:pPr>
              <w:rPr>
                <w:lang w:val="en-US" w:eastAsia="ja-JP"/>
              </w:rPr>
            </w:pPr>
            <w:r>
              <w:rPr>
                <w:lang w:val="en-US" w:eastAsia="ja-JP"/>
              </w:rPr>
              <w:t>-</w:t>
            </w:r>
          </w:p>
        </w:tc>
        <w:tc>
          <w:tcPr>
            <w:tcW w:w="2254" w:type="dxa"/>
            <w:vAlign w:val="center"/>
          </w:tcPr>
          <w:p w14:paraId="19194E37" w14:textId="29BEE8C4" w:rsidR="00D42E71" w:rsidRDefault="00114A4F" w:rsidP="00D42E71">
            <w:pPr>
              <w:rPr>
                <w:lang w:val="en-US" w:eastAsia="ja-JP"/>
              </w:rPr>
            </w:pPr>
            <w:r>
              <w:rPr>
                <w:lang w:val="en-US" w:eastAsia="ja-JP"/>
              </w:rPr>
              <w:t>50</w:t>
            </w:r>
            <w:r w:rsidR="00D42E71">
              <w:rPr>
                <w:lang w:val="en-US" w:eastAsia="ja-JP"/>
              </w:rPr>
              <w:t xml:space="preserve"> products “lost” (22%)</w:t>
            </w:r>
          </w:p>
        </w:tc>
        <w:tc>
          <w:tcPr>
            <w:tcW w:w="2254" w:type="dxa"/>
            <w:vAlign w:val="center"/>
          </w:tcPr>
          <w:p w14:paraId="7ADA43B5" w14:textId="6E21E1CE" w:rsidR="00D42E71" w:rsidRDefault="00257A0B" w:rsidP="00D42E71">
            <w:pPr>
              <w:rPr>
                <w:lang w:val="en-US" w:eastAsia="ja-JP"/>
              </w:rPr>
            </w:pPr>
            <w:r>
              <w:rPr>
                <w:lang w:val="en-US" w:eastAsia="ja-JP"/>
              </w:rPr>
              <w:t>4</w:t>
            </w:r>
            <w:r w:rsidR="00D42E71">
              <w:rPr>
                <w:lang w:val="en-US" w:eastAsia="ja-JP"/>
              </w:rPr>
              <w:t xml:space="preserve"> products “lost” (</w:t>
            </w:r>
            <w:r>
              <w:rPr>
                <w:lang w:val="en-US" w:eastAsia="ja-JP"/>
              </w:rPr>
              <w:t>2</w:t>
            </w:r>
            <w:r w:rsidR="00D42E71">
              <w:rPr>
                <w:lang w:val="en-US" w:eastAsia="ja-JP"/>
              </w:rPr>
              <w:t>%)</w:t>
            </w:r>
          </w:p>
        </w:tc>
      </w:tr>
    </w:tbl>
    <w:p w14:paraId="6020FF82" w14:textId="767B1E08" w:rsidR="00717B07" w:rsidRDefault="00717B07" w:rsidP="00717B07">
      <w:pPr>
        <w:spacing w:before="240"/>
        <w:jc w:val="both"/>
        <w:rPr>
          <w:lang w:val="en-US" w:eastAsia="ja-JP"/>
        </w:rPr>
      </w:pPr>
      <w:r>
        <w:rPr>
          <w:lang w:val="en-US" w:eastAsia="ja-JP"/>
        </w:rPr>
        <w:t>The ‘</w:t>
      </w:r>
      <w:proofErr w:type="gramStart"/>
      <w:r>
        <w:rPr>
          <w:lang w:val="en-US" w:eastAsia="ja-JP"/>
        </w:rPr>
        <w:t>loss’</w:t>
      </w:r>
      <w:proofErr w:type="gramEnd"/>
      <w:r>
        <w:rPr>
          <w:lang w:val="en-US" w:eastAsia="ja-JP"/>
        </w:rPr>
        <w:t xml:space="preserve"> of </w:t>
      </w:r>
      <w:r w:rsidR="0046597F">
        <w:rPr>
          <w:lang w:val="en-US" w:eastAsia="ja-JP"/>
        </w:rPr>
        <w:t>50</w:t>
      </w:r>
      <w:r>
        <w:rPr>
          <w:lang w:val="en-US" w:eastAsia="ja-JP"/>
        </w:rPr>
        <w:t xml:space="preserve"> products by 2035 given Commission proposals corresponds to up to 16 million life years lost in Europe, as well as up to </w:t>
      </w:r>
      <w:r>
        <w:rPr>
          <w:rFonts w:cs="Arial"/>
          <w:lang w:val="en-US" w:eastAsia="ja-JP"/>
        </w:rPr>
        <w:t>€</w:t>
      </w:r>
      <w:r>
        <w:rPr>
          <w:lang w:val="en-US" w:eastAsia="ja-JP"/>
        </w:rPr>
        <w:t xml:space="preserve">2 billion of R&amp;D activity within EU countries potentially at risk (detailed in </w:t>
      </w:r>
      <w:r>
        <w:rPr>
          <w:lang w:val="en-US" w:eastAsia="ja-JP"/>
        </w:rPr>
        <w:fldChar w:fldCharType="begin"/>
      </w:r>
      <w:r>
        <w:rPr>
          <w:lang w:val="en-US" w:eastAsia="ja-JP"/>
        </w:rPr>
        <w:instrText xml:space="preserve"> REF _Ref146574924 \h </w:instrText>
      </w:r>
      <w:r>
        <w:rPr>
          <w:lang w:val="en-US" w:eastAsia="ja-JP"/>
        </w:rPr>
      </w:r>
      <w:r>
        <w:rPr>
          <w:lang w:val="en-US" w:eastAsia="ja-JP"/>
        </w:rPr>
        <w:fldChar w:fldCharType="separate"/>
      </w:r>
      <w:r w:rsidRPr="00384923">
        <w:t xml:space="preserve">Figure </w:t>
      </w:r>
      <w:r>
        <w:rPr>
          <w:noProof/>
        </w:rPr>
        <w:t>1</w:t>
      </w:r>
      <w:r>
        <w:rPr>
          <w:lang w:val="en-US" w:eastAsia="ja-JP"/>
        </w:rPr>
        <w:fldChar w:fldCharType="end"/>
      </w:r>
      <w:r>
        <w:rPr>
          <w:lang w:val="en-US" w:eastAsia="ja-JP"/>
        </w:rPr>
        <w:t>).</w:t>
      </w:r>
    </w:p>
    <w:p w14:paraId="04F5B2E6" w14:textId="124C3DF1" w:rsidR="00384923" w:rsidRPr="00384923" w:rsidRDefault="00384923" w:rsidP="00717B07">
      <w:pPr>
        <w:pStyle w:val="Descripcin"/>
        <w:jc w:val="both"/>
        <w:rPr>
          <w:sz w:val="22"/>
          <w:szCs w:val="22"/>
        </w:rPr>
      </w:pPr>
      <w:bookmarkStart w:id="3" w:name="_Ref146574924"/>
      <w:r w:rsidRPr="00384923">
        <w:rPr>
          <w:sz w:val="22"/>
          <w:szCs w:val="22"/>
        </w:rPr>
        <w:lastRenderedPageBreak/>
        <w:t xml:space="preserve">Figure </w:t>
      </w:r>
      <w:r w:rsidRPr="00384923">
        <w:rPr>
          <w:sz w:val="22"/>
          <w:szCs w:val="22"/>
        </w:rPr>
        <w:fldChar w:fldCharType="begin"/>
      </w:r>
      <w:r w:rsidRPr="00384923">
        <w:rPr>
          <w:sz w:val="22"/>
          <w:szCs w:val="22"/>
        </w:rPr>
        <w:instrText xml:space="preserve"> SEQ Figure \* ARABIC </w:instrText>
      </w:r>
      <w:r w:rsidRPr="00384923">
        <w:rPr>
          <w:sz w:val="22"/>
          <w:szCs w:val="22"/>
        </w:rPr>
        <w:fldChar w:fldCharType="separate"/>
      </w:r>
      <w:r>
        <w:rPr>
          <w:noProof/>
          <w:sz w:val="22"/>
          <w:szCs w:val="22"/>
        </w:rPr>
        <w:t>1</w:t>
      </w:r>
      <w:r w:rsidRPr="00384923">
        <w:rPr>
          <w:sz w:val="22"/>
          <w:szCs w:val="22"/>
        </w:rPr>
        <w:fldChar w:fldCharType="end"/>
      </w:r>
      <w:bookmarkEnd w:id="3"/>
      <w:r w:rsidRPr="00384923">
        <w:rPr>
          <w:sz w:val="22"/>
          <w:szCs w:val="22"/>
        </w:rPr>
        <w:t xml:space="preserve">. Estimated annual R&amp;D activity </w:t>
      </w:r>
      <w:r w:rsidR="00BF137D">
        <w:rPr>
          <w:sz w:val="22"/>
          <w:szCs w:val="22"/>
        </w:rPr>
        <w:t>lost</w:t>
      </w:r>
      <w:r w:rsidR="00BF137D" w:rsidRPr="00384923">
        <w:rPr>
          <w:sz w:val="22"/>
          <w:szCs w:val="22"/>
        </w:rPr>
        <w:t xml:space="preserve"> </w:t>
      </w:r>
      <w:r w:rsidRPr="00384923">
        <w:rPr>
          <w:sz w:val="22"/>
          <w:szCs w:val="22"/>
        </w:rPr>
        <w:t xml:space="preserve">as a result of Commission </w:t>
      </w:r>
      <w:proofErr w:type="gramStart"/>
      <w:r w:rsidRPr="00384923">
        <w:rPr>
          <w:sz w:val="22"/>
          <w:szCs w:val="22"/>
        </w:rPr>
        <w:t>proposals</w:t>
      </w:r>
      <w:proofErr w:type="gramEnd"/>
    </w:p>
    <w:p w14:paraId="2ABE17EA" w14:textId="5E37BA0E" w:rsidR="00384923" w:rsidRPr="00311BA5" w:rsidRDefault="00EB6B20" w:rsidP="00717B07">
      <w:pPr>
        <w:jc w:val="center"/>
        <w:rPr>
          <w:lang w:val="en-US" w:eastAsia="ja-JP"/>
        </w:rPr>
      </w:pPr>
      <w:r>
        <w:rPr>
          <w:noProof/>
          <w:lang w:val="en-US" w:eastAsia="ja-JP"/>
        </w:rPr>
        <w:drawing>
          <wp:inline distT="0" distB="0" distL="0" distR="0" wp14:anchorId="5AF137FB" wp14:editId="3D6F6E0D">
            <wp:extent cx="5257800" cy="3695489"/>
            <wp:effectExtent l="0" t="0" r="0" b="635"/>
            <wp:docPr id="2035536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8961" cy="3717391"/>
                    </a:xfrm>
                    <a:prstGeom prst="rect">
                      <a:avLst/>
                    </a:prstGeom>
                    <a:noFill/>
                  </pic:spPr>
                </pic:pic>
              </a:graphicData>
            </a:graphic>
          </wp:inline>
        </w:drawing>
      </w:r>
    </w:p>
    <w:p w14:paraId="16E04136" w14:textId="3A40C162" w:rsidR="006F036C" w:rsidRPr="007757F8" w:rsidRDefault="00EE5335" w:rsidP="00D71DFE">
      <w:pPr>
        <w:pStyle w:val="Ttulo2"/>
      </w:pPr>
      <w:r w:rsidRPr="007757F8">
        <w:t>Competitiveness</w:t>
      </w:r>
      <w:r>
        <w:t xml:space="preserve">. </w:t>
      </w:r>
      <w:r w:rsidR="00FB6487">
        <w:t xml:space="preserve">Over time, Europe may come to play a lesser role in driving global </w:t>
      </w:r>
      <w:proofErr w:type="gramStart"/>
      <w:r w:rsidR="00FB6487">
        <w:t>innovation</w:t>
      </w:r>
      <w:proofErr w:type="gramEnd"/>
    </w:p>
    <w:p w14:paraId="5716449D" w14:textId="6319C2B9" w:rsidR="00A12735" w:rsidRDefault="00A12735" w:rsidP="00FB6487">
      <w:pPr>
        <w:jc w:val="both"/>
      </w:pPr>
      <w:r>
        <w:t xml:space="preserve">Reductions in incentives to invest in biopharmaceutical innovation, as well as </w:t>
      </w:r>
      <w:r w:rsidR="0004235F">
        <w:t xml:space="preserve">reducing the </w:t>
      </w:r>
      <w:proofErr w:type="gramStart"/>
      <w:r w:rsidR="0004235F">
        <w:t>amount</w:t>
      </w:r>
      <w:proofErr w:type="gramEnd"/>
      <w:r w:rsidR="0004235F">
        <w:t xml:space="preserve"> of new medicines approved in Europe, is also expected to reduce the intensity of </w:t>
      </w:r>
      <w:r w:rsidR="00C87124">
        <w:t xml:space="preserve">biopharmaceutical R&amp;D in Europe. </w:t>
      </w:r>
      <w:r w:rsidR="004D7640">
        <w:t xml:space="preserve">The estimated 22% reduction in </w:t>
      </w:r>
      <w:r w:rsidR="00845A2D">
        <w:t>medicines developed by 2035 is expected to translate into</w:t>
      </w:r>
      <w:r w:rsidR="00E87157">
        <w:t xml:space="preserve"> reduced expenditure on R&amp;D in Europe. </w:t>
      </w:r>
    </w:p>
    <w:p w14:paraId="22999870" w14:textId="035F59F8" w:rsidR="00FB6487" w:rsidRPr="00FB6487" w:rsidRDefault="00FB6487" w:rsidP="00FB6487">
      <w:pPr>
        <w:jc w:val="both"/>
      </w:pPr>
      <w:r>
        <w:fldChar w:fldCharType="begin"/>
      </w:r>
      <w:r>
        <w:instrText xml:space="preserve"> REF _Ref146575315 \h </w:instrText>
      </w:r>
      <w:r>
        <w:fldChar w:fldCharType="separate"/>
      </w:r>
      <w:r w:rsidRPr="00384923">
        <w:t xml:space="preserve">Figure </w:t>
      </w:r>
      <w:r w:rsidRPr="00384923">
        <w:rPr>
          <w:noProof/>
        </w:rPr>
        <w:t>2</w:t>
      </w:r>
      <w:r>
        <w:fldChar w:fldCharType="end"/>
      </w:r>
      <w:r>
        <w:t xml:space="preserve"> </w:t>
      </w:r>
      <w:r w:rsidR="00A12735">
        <w:t xml:space="preserve">shows </w:t>
      </w:r>
      <w:r>
        <w:t xml:space="preserve">that Europe might contribute to </w:t>
      </w:r>
      <w:r w:rsidR="00575614">
        <w:t xml:space="preserve">just </w:t>
      </w:r>
      <w:r>
        <w:t xml:space="preserve">21% of global R&amp;D spend by 2040, compared to 32% currently, </w:t>
      </w:r>
      <w:proofErr w:type="gramStart"/>
      <w:r>
        <w:t>as a result of</w:t>
      </w:r>
      <w:proofErr w:type="gramEnd"/>
      <w:r>
        <w:t xml:space="preserve"> a slower growth in R&amp;D </w:t>
      </w:r>
      <w:r w:rsidR="00575614">
        <w:t>activity</w:t>
      </w:r>
      <w:r>
        <w:t xml:space="preserve"> compared to that achieved by other regions.</w:t>
      </w:r>
    </w:p>
    <w:p w14:paraId="0BCCCBA5" w14:textId="7A7A8909" w:rsidR="00384923" w:rsidRPr="00384923" w:rsidRDefault="00384923" w:rsidP="00717B07">
      <w:pPr>
        <w:pStyle w:val="Descripcin"/>
        <w:jc w:val="both"/>
        <w:rPr>
          <w:sz w:val="22"/>
          <w:szCs w:val="22"/>
        </w:rPr>
      </w:pPr>
      <w:bookmarkStart w:id="4" w:name="_Ref146575315"/>
      <w:r w:rsidRPr="00384923">
        <w:rPr>
          <w:sz w:val="22"/>
          <w:szCs w:val="22"/>
        </w:rPr>
        <w:t xml:space="preserve">Figure </w:t>
      </w:r>
      <w:r w:rsidRPr="00384923">
        <w:rPr>
          <w:sz w:val="22"/>
          <w:szCs w:val="22"/>
        </w:rPr>
        <w:fldChar w:fldCharType="begin"/>
      </w:r>
      <w:r w:rsidRPr="00384923">
        <w:rPr>
          <w:sz w:val="22"/>
          <w:szCs w:val="22"/>
        </w:rPr>
        <w:instrText xml:space="preserve"> SEQ Figure \* ARABIC </w:instrText>
      </w:r>
      <w:r w:rsidRPr="00384923">
        <w:rPr>
          <w:sz w:val="22"/>
          <w:szCs w:val="22"/>
        </w:rPr>
        <w:fldChar w:fldCharType="separate"/>
      </w:r>
      <w:r w:rsidRPr="00384923">
        <w:rPr>
          <w:noProof/>
          <w:sz w:val="22"/>
          <w:szCs w:val="22"/>
        </w:rPr>
        <w:t>2</w:t>
      </w:r>
      <w:r w:rsidRPr="00384923">
        <w:rPr>
          <w:sz w:val="22"/>
          <w:szCs w:val="22"/>
        </w:rPr>
        <w:fldChar w:fldCharType="end"/>
      </w:r>
      <w:bookmarkEnd w:id="4"/>
      <w:r w:rsidRPr="00384923">
        <w:rPr>
          <w:sz w:val="22"/>
          <w:szCs w:val="22"/>
        </w:rPr>
        <w:t xml:space="preserve">. Share of pharmaceutical R&amp;D </w:t>
      </w:r>
      <w:r w:rsidR="00FB6487">
        <w:rPr>
          <w:sz w:val="22"/>
          <w:szCs w:val="22"/>
        </w:rPr>
        <w:t>spend</w:t>
      </w:r>
      <w:r w:rsidRPr="00384923">
        <w:rPr>
          <w:sz w:val="22"/>
          <w:szCs w:val="22"/>
        </w:rPr>
        <w:t xml:space="preserve"> between Europe, US, </w:t>
      </w:r>
      <w:proofErr w:type="gramStart"/>
      <w:r w:rsidRPr="00384923">
        <w:rPr>
          <w:sz w:val="22"/>
          <w:szCs w:val="22"/>
        </w:rPr>
        <w:t>Japan</w:t>
      </w:r>
      <w:proofErr w:type="gramEnd"/>
      <w:r w:rsidRPr="00384923">
        <w:rPr>
          <w:sz w:val="22"/>
          <w:szCs w:val="22"/>
        </w:rPr>
        <w:t xml:space="preserve"> and China</w:t>
      </w:r>
    </w:p>
    <w:p w14:paraId="1F09E3BB" w14:textId="3EC0F6E7" w:rsidR="00384923" w:rsidRDefault="00384923" w:rsidP="00384923">
      <w:r>
        <w:rPr>
          <w:noProof/>
        </w:rPr>
        <w:drawing>
          <wp:inline distT="0" distB="0" distL="0" distR="0" wp14:anchorId="13859925" wp14:editId="50B0285C">
            <wp:extent cx="5760000" cy="1483028"/>
            <wp:effectExtent l="0" t="0" r="0" b="3175"/>
            <wp:docPr id="2128919283" name="Picture 212891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00" cy="1483028"/>
                    </a:xfrm>
                    <a:prstGeom prst="rect">
                      <a:avLst/>
                    </a:prstGeom>
                    <a:noFill/>
                  </pic:spPr>
                </pic:pic>
              </a:graphicData>
            </a:graphic>
          </wp:inline>
        </w:drawing>
      </w:r>
    </w:p>
    <w:p w14:paraId="2AEBCF1D" w14:textId="77777777" w:rsidR="00B00354" w:rsidRDefault="00B00354" w:rsidP="00384923"/>
    <w:p w14:paraId="6AE1B1DF" w14:textId="77777777" w:rsidR="00B00354" w:rsidRPr="00384923" w:rsidRDefault="00B00354" w:rsidP="00384923"/>
    <w:p w14:paraId="77C7D219" w14:textId="55F02D94" w:rsidR="00AC1536" w:rsidRDefault="00EE5335" w:rsidP="00EE5335">
      <w:pPr>
        <w:pStyle w:val="Ttulo2"/>
      </w:pPr>
      <w:r>
        <w:lastRenderedPageBreak/>
        <w:t>SMEs</w:t>
      </w:r>
      <w:r w:rsidR="00AC1536">
        <w:t xml:space="preserve">. SMEs, which offer a weak investment proposition within the current environment, are expected to see their attractiveness further </w:t>
      </w:r>
      <w:r w:rsidR="0046597F">
        <w:t>lessened</w:t>
      </w:r>
      <w:r w:rsidR="00AC1536">
        <w:t xml:space="preserve"> by Commission proposals</w:t>
      </w:r>
      <w:r w:rsidR="008E0B95">
        <w:t>.</w:t>
      </w:r>
    </w:p>
    <w:p w14:paraId="38F0FE91" w14:textId="77777777" w:rsidR="00DE5BBD" w:rsidRDefault="00211EA8" w:rsidP="00211EA8">
      <w:pPr>
        <w:jc w:val="both"/>
        <w:rPr>
          <w:rFonts w:cs="Arial"/>
          <w:lang w:val="en-US" w:eastAsia="ja-JP"/>
        </w:rPr>
      </w:pPr>
      <w:r>
        <w:t xml:space="preserve">As described </w:t>
      </w:r>
      <w:r w:rsidR="0046597F">
        <w:t>in the methods section</w:t>
      </w:r>
      <w:r>
        <w:t xml:space="preserve">, we make a single tweak to represent the investment proposition offered </w:t>
      </w:r>
      <w:r w:rsidR="0046597F">
        <w:t xml:space="preserve">specifically </w:t>
      </w:r>
      <w:r>
        <w:t>by SMEs: we increase</w:t>
      </w:r>
      <w:r w:rsidR="329C1263">
        <w:t>d</w:t>
      </w:r>
      <w:r>
        <w:t xml:space="preserve"> the cost of capital by 50%. This lone change is sufficient to </w:t>
      </w:r>
      <w:r w:rsidR="00A0045B">
        <w:t>have</w:t>
      </w:r>
      <w:r>
        <w:t xml:space="preserve"> significant impact in our modelling: the average</w:t>
      </w:r>
      <w:r w:rsidR="0046597F">
        <w:t xml:space="preserve"> base case</w:t>
      </w:r>
      <w:r>
        <w:t xml:space="preserve"> rNPV falls from </w:t>
      </w:r>
      <w:r>
        <w:rPr>
          <w:rFonts w:cs="Arial"/>
          <w:lang w:val="en-US" w:eastAsia="ja-JP"/>
        </w:rPr>
        <w:t>€10.1 million to -€4.2 million. While this result should be interpreted cautiously</w:t>
      </w:r>
      <w:r w:rsidR="1A34FFF0" w:rsidRPr="09F5ED04">
        <w:rPr>
          <w:rFonts w:cs="Arial"/>
          <w:lang w:val="en-US" w:eastAsia="ja-JP"/>
        </w:rPr>
        <w:t>,</w:t>
      </w:r>
      <w:r>
        <w:rPr>
          <w:rFonts w:cs="Arial"/>
          <w:lang w:val="en-US" w:eastAsia="ja-JP"/>
        </w:rPr>
        <w:t xml:space="preserve"> given the </w:t>
      </w:r>
      <w:r w:rsidR="006C705B">
        <w:rPr>
          <w:rFonts w:cs="Arial"/>
          <w:lang w:val="en-US" w:eastAsia="ja-JP"/>
        </w:rPr>
        <w:t xml:space="preserve">scarcity </w:t>
      </w:r>
      <w:r>
        <w:rPr>
          <w:rFonts w:cs="Arial"/>
          <w:lang w:val="en-US" w:eastAsia="ja-JP"/>
        </w:rPr>
        <w:t xml:space="preserve">of inputs specific to SMEs, it does suggest that the investment proposition for RDP products in Europe </w:t>
      </w:r>
      <w:r w:rsidR="5EBC4963" w:rsidRPr="09F5ED04">
        <w:rPr>
          <w:rFonts w:cs="Arial"/>
          <w:lang w:val="en-US" w:eastAsia="ja-JP"/>
        </w:rPr>
        <w:t xml:space="preserve">developed </w:t>
      </w:r>
      <w:r w:rsidR="0046597F">
        <w:rPr>
          <w:rFonts w:cs="Arial"/>
          <w:lang w:val="en-US" w:eastAsia="ja-JP"/>
        </w:rPr>
        <w:t xml:space="preserve">by SMEs </w:t>
      </w:r>
      <w:r>
        <w:rPr>
          <w:rFonts w:cs="Arial"/>
          <w:lang w:val="en-US" w:eastAsia="ja-JP"/>
        </w:rPr>
        <w:t xml:space="preserve">is precarious </w:t>
      </w:r>
      <w:r w:rsidR="3327A6F1" w:rsidRPr="09F5ED04">
        <w:rPr>
          <w:rFonts w:cs="Arial"/>
          <w:lang w:val="en-US" w:eastAsia="ja-JP"/>
        </w:rPr>
        <w:t xml:space="preserve">even </w:t>
      </w:r>
      <w:r>
        <w:rPr>
          <w:rFonts w:cs="Arial"/>
          <w:lang w:val="en-US" w:eastAsia="ja-JP"/>
        </w:rPr>
        <w:t xml:space="preserve">within the current legislative environment. </w:t>
      </w:r>
    </w:p>
    <w:p w14:paraId="094763A9" w14:textId="6E34B430" w:rsidR="007E45AC" w:rsidRPr="00E07697" w:rsidRDefault="00BF1EB7" w:rsidP="00211EA8">
      <w:pPr>
        <w:jc w:val="both"/>
      </w:pPr>
      <w:r>
        <w:rPr>
          <w:rFonts w:cs="Arial"/>
          <w:lang w:val="en-US" w:eastAsia="ja-JP"/>
        </w:rPr>
        <w:t xml:space="preserve">When considering </w:t>
      </w:r>
      <w:r w:rsidR="1D612E95" w:rsidRPr="09F5ED04">
        <w:rPr>
          <w:rFonts w:cs="Arial"/>
          <w:lang w:val="en-US" w:eastAsia="ja-JP"/>
        </w:rPr>
        <w:t xml:space="preserve">the </w:t>
      </w:r>
      <w:r>
        <w:rPr>
          <w:rFonts w:cs="Arial"/>
          <w:lang w:val="en-US" w:eastAsia="ja-JP"/>
        </w:rPr>
        <w:t>changes proposed by the Commission</w:t>
      </w:r>
      <w:r w:rsidRPr="00DC5680">
        <w:rPr>
          <w:rFonts w:cs="Arial"/>
          <w:lang w:val="en-US" w:eastAsia="ja-JP"/>
        </w:rPr>
        <w:t>, average rNPV falls to -€6.1 million, suggesting a further deterioration of the attractiveness of</w:t>
      </w:r>
      <w:r w:rsidR="006C705B" w:rsidRPr="00DC5680">
        <w:rPr>
          <w:rFonts w:cs="Arial"/>
          <w:lang w:val="en-US" w:eastAsia="ja-JP"/>
        </w:rPr>
        <w:t xml:space="preserve"> </w:t>
      </w:r>
      <w:r w:rsidRPr="00DC5680">
        <w:rPr>
          <w:rFonts w:cs="Arial"/>
          <w:lang w:val="en-US" w:eastAsia="ja-JP"/>
        </w:rPr>
        <w:t>SMEs within Europe.</w:t>
      </w:r>
      <w:r w:rsidR="00DE5BBD">
        <w:rPr>
          <w:rFonts w:cs="Arial"/>
          <w:lang w:val="en-US" w:eastAsia="ja-JP"/>
        </w:rPr>
        <w:t xml:space="preserve"> Following these changes, it is estimated that only about one in ten SME-developed </w:t>
      </w:r>
      <w:proofErr w:type="gramStart"/>
      <w:r w:rsidR="00DE5BBD">
        <w:rPr>
          <w:rFonts w:cs="Arial"/>
          <w:lang w:val="en-US" w:eastAsia="ja-JP"/>
        </w:rPr>
        <w:t>product</w:t>
      </w:r>
      <w:proofErr w:type="gramEnd"/>
      <w:r w:rsidR="00DE5BBD">
        <w:rPr>
          <w:rFonts w:cs="Arial"/>
          <w:lang w:val="en-US" w:eastAsia="ja-JP"/>
        </w:rPr>
        <w:t xml:space="preserve"> would be economically viable.</w:t>
      </w:r>
    </w:p>
    <w:p w14:paraId="2478C924" w14:textId="649B736B" w:rsidR="00EE5335" w:rsidRDefault="00EE5335" w:rsidP="00EE5335">
      <w:pPr>
        <w:pStyle w:val="Ttulo2"/>
      </w:pPr>
      <w:r w:rsidRPr="00EE5335">
        <w:t xml:space="preserve">Environmental regulations. </w:t>
      </w:r>
      <w:r w:rsidR="7DEA7739">
        <w:t xml:space="preserve">Links to </w:t>
      </w:r>
      <w:r w:rsidR="4B50C286">
        <w:t>e</w:t>
      </w:r>
      <w:r w:rsidR="00B961F6">
        <w:t xml:space="preserve">nvironmental </w:t>
      </w:r>
      <w:r w:rsidR="01EE4537">
        <w:t>requirements</w:t>
      </w:r>
      <w:r w:rsidR="00B961F6">
        <w:t xml:space="preserve"> paired with other Commission proposals are likely to profoundly and negatively affect incentives for innovation in </w:t>
      </w:r>
      <w:proofErr w:type="gramStart"/>
      <w:r w:rsidR="00B961F6">
        <w:t>Europe</w:t>
      </w:r>
      <w:proofErr w:type="gramEnd"/>
    </w:p>
    <w:p w14:paraId="0BB7B40A" w14:textId="77777777" w:rsidR="00BF137D" w:rsidRDefault="00A537A4" w:rsidP="00A537A4">
      <w:pPr>
        <w:jc w:val="both"/>
      </w:pPr>
      <w:r>
        <w:fldChar w:fldCharType="begin"/>
      </w:r>
      <w:r>
        <w:instrText xml:space="preserve"> REF _Ref146576540 \h </w:instrText>
      </w:r>
      <w:r>
        <w:fldChar w:fldCharType="separate"/>
      </w:r>
      <w:r w:rsidRPr="00114A4F">
        <w:t xml:space="preserve">Table </w:t>
      </w:r>
      <w:r>
        <w:rPr>
          <w:noProof/>
        </w:rPr>
        <w:t>3</w:t>
      </w:r>
      <w:r>
        <w:fldChar w:fldCharType="end"/>
      </w:r>
      <w:r>
        <w:t xml:space="preserve"> summarises outputs </w:t>
      </w:r>
      <w:r w:rsidR="383E0BC7" w:rsidRPr="00DC5680">
        <w:t>related</w:t>
      </w:r>
      <w:r>
        <w:t xml:space="preserve"> to the impact </w:t>
      </w:r>
      <w:r w:rsidR="0ECB35FD">
        <w:t xml:space="preserve">of </w:t>
      </w:r>
      <w:r>
        <w:t xml:space="preserve">Commission proposals (regulatory approval and RDP modulation) coupled with increased environmental demands. </w:t>
      </w:r>
    </w:p>
    <w:p w14:paraId="2FD6E31D" w14:textId="11F1141B" w:rsidR="00B961F6" w:rsidRDefault="00655D3D" w:rsidP="00A537A4">
      <w:pPr>
        <w:jc w:val="both"/>
      </w:pPr>
      <w:r>
        <w:t>Our modelling suggests that</w:t>
      </w:r>
      <w:r w:rsidR="00A537A4">
        <w:t>,</w:t>
      </w:r>
      <w:r>
        <w:t xml:space="preserve"> should linkages between the Pharmaceutical Legislation and environmental regulations result in significant increases in development and manufacturing costs, </w:t>
      </w:r>
      <w:r w:rsidR="00A537A4">
        <w:t xml:space="preserve">European’s incentives for innovation </w:t>
      </w:r>
      <w:r>
        <w:t xml:space="preserve">would </w:t>
      </w:r>
      <w:r w:rsidR="252B550E">
        <w:t xml:space="preserve">be </w:t>
      </w:r>
      <w:r>
        <w:t xml:space="preserve">impacted. </w:t>
      </w:r>
      <w:r w:rsidR="00BF137D">
        <w:t>More specifically, w</w:t>
      </w:r>
      <w:r>
        <w:t xml:space="preserve">e find that increases of 5% in R&amp;D costs and 20% in COGS, on top of other changes directly embedded in the Legislation, could translate to up to </w:t>
      </w:r>
      <w:r w:rsidR="00A537A4">
        <w:t xml:space="preserve">half of </w:t>
      </w:r>
      <w:r w:rsidR="1BA826C3">
        <w:t xml:space="preserve">the </w:t>
      </w:r>
      <w:r>
        <w:t xml:space="preserve">RDP </w:t>
      </w:r>
      <w:r w:rsidR="00A537A4">
        <w:t xml:space="preserve">products </w:t>
      </w:r>
      <w:r>
        <w:t xml:space="preserve">no longer being economically viable in Europe </w:t>
      </w:r>
      <w:r w:rsidR="00A537A4">
        <w:t>within the next 15 years.</w:t>
      </w:r>
    </w:p>
    <w:p w14:paraId="65391BAA" w14:textId="693F2144" w:rsidR="00114A4F" w:rsidRDefault="00114A4F" w:rsidP="0046597F">
      <w:pPr>
        <w:pStyle w:val="Descripcin"/>
        <w:jc w:val="both"/>
        <w:rPr>
          <w:i/>
          <w:iCs/>
          <w:sz w:val="22"/>
          <w:szCs w:val="22"/>
        </w:rPr>
      </w:pPr>
      <w:bookmarkStart w:id="5" w:name="_Ref146576540"/>
      <w:r w:rsidRPr="00114A4F">
        <w:rPr>
          <w:sz w:val="22"/>
          <w:szCs w:val="22"/>
        </w:rPr>
        <w:t xml:space="preserve">Table </w:t>
      </w:r>
      <w:r w:rsidRPr="00114A4F">
        <w:rPr>
          <w:sz w:val="22"/>
          <w:szCs w:val="22"/>
        </w:rPr>
        <w:fldChar w:fldCharType="begin"/>
      </w:r>
      <w:r w:rsidRPr="00114A4F">
        <w:rPr>
          <w:sz w:val="22"/>
          <w:szCs w:val="22"/>
        </w:rPr>
        <w:instrText xml:space="preserve"> SEQ Table \* ARABIC </w:instrText>
      </w:r>
      <w:r w:rsidRPr="00114A4F">
        <w:rPr>
          <w:sz w:val="22"/>
          <w:szCs w:val="22"/>
        </w:rPr>
        <w:fldChar w:fldCharType="separate"/>
      </w:r>
      <w:r w:rsidR="00FF0723">
        <w:rPr>
          <w:noProof/>
          <w:sz w:val="22"/>
          <w:szCs w:val="22"/>
        </w:rPr>
        <w:t>3</w:t>
      </w:r>
      <w:r w:rsidRPr="00114A4F">
        <w:rPr>
          <w:sz w:val="22"/>
          <w:szCs w:val="22"/>
        </w:rPr>
        <w:fldChar w:fldCharType="end"/>
      </w:r>
      <w:bookmarkEnd w:id="5"/>
      <w:r w:rsidRPr="00114A4F">
        <w:rPr>
          <w:sz w:val="22"/>
          <w:szCs w:val="22"/>
        </w:rPr>
        <w:t xml:space="preserve">. </w:t>
      </w:r>
      <w:r w:rsidRPr="0063249D">
        <w:rPr>
          <w:sz w:val="22"/>
          <w:szCs w:val="22"/>
        </w:rPr>
        <w:t xml:space="preserve">Incentives for innovation in Europe for </w:t>
      </w:r>
      <w:r>
        <w:rPr>
          <w:sz w:val="22"/>
          <w:szCs w:val="22"/>
        </w:rPr>
        <w:t xml:space="preserve">RDP </w:t>
      </w:r>
      <w:r w:rsidRPr="0063249D">
        <w:rPr>
          <w:sz w:val="22"/>
          <w:szCs w:val="22"/>
        </w:rPr>
        <w:t xml:space="preserve">products </w:t>
      </w:r>
      <w:r>
        <w:rPr>
          <w:sz w:val="22"/>
          <w:szCs w:val="22"/>
        </w:rPr>
        <w:t xml:space="preserve">given </w:t>
      </w:r>
      <w:r w:rsidR="1BE1CF04" w:rsidRPr="09F5ED04">
        <w:rPr>
          <w:sz w:val="22"/>
          <w:szCs w:val="22"/>
        </w:rPr>
        <w:t xml:space="preserve">the </w:t>
      </w:r>
      <w:r w:rsidRPr="09F5ED04">
        <w:rPr>
          <w:sz w:val="22"/>
          <w:szCs w:val="22"/>
        </w:rPr>
        <w:t>Commission</w:t>
      </w:r>
      <w:r>
        <w:rPr>
          <w:sz w:val="22"/>
          <w:szCs w:val="22"/>
        </w:rPr>
        <w:t xml:space="preserve"> proposals and </w:t>
      </w:r>
      <w:r w:rsidR="15583384" w:rsidRPr="09F5ED04">
        <w:rPr>
          <w:sz w:val="22"/>
          <w:szCs w:val="22"/>
        </w:rPr>
        <w:t xml:space="preserve">links to </w:t>
      </w:r>
      <w:r>
        <w:rPr>
          <w:sz w:val="22"/>
          <w:szCs w:val="22"/>
        </w:rPr>
        <w:t>environmental links</w:t>
      </w:r>
      <w:r w:rsidR="1AE09B1E" w:rsidRPr="09F5ED04">
        <w:rPr>
          <w:sz w:val="22"/>
          <w:szCs w:val="22"/>
        </w:rPr>
        <w:t xml:space="preserve"> </w:t>
      </w:r>
      <w:proofErr w:type="gramStart"/>
      <w:r w:rsidR="54201DD1" w:rsidRPr="09F5ED04">
        <w:rPr>
          <w:sz w:val="22"/>
          <w:szCs w:val="22"/>
        </w:rPr>
        <w:t>requirements</w:t>
      </w:r>
      <w:proofErr w:type="gramEnd"/>
    </w:p>
    <w:tbl>
      <w:tblPr>
        <w:tblStyle w:val="Tablaconcuadrcula"/>
        <w:tblW w:w="0" w:type="auto"/>
        <w:tblLook w:val="04A0" w:firstRow="1" w:lastRow="0" w:firstColumn="1" w:lastColumn="0" w:noHBand="0" w:noVBand="1"/>
      </w:tblPr>
      <w:tblGrid>
        <w:gridCol w:w="2254"/>
        <w:gridCol w:w="2254"/>
        <w:gridCol w:w="2254"/>
        <w:gridCol w:w="2254"/>
      </w:tblGrid>
      <w:tr w:rsidR="00114A4F" w14:paraId="62CDC4A9" w14:textId="77777777" w:rsidTr="008200CB">
        <w:trPr>
          <w:trHeight w:val="506"/>
        </w:trPr>
        <w:tc>
          <w:tcPr>
            <w:tcW w:w="2254" w:type="dxa"/>
            <w:shd w:val="clear" w:color="auto" w:fill="EEECE1" w:themeFill="background2"/>
            <w:vAlign w:val="center"/>
          </w:tcPr>
          <w:p w14:paraId="5AE72FDC" w14:textId="77777777" w:rsidR="00114A4F" w:rsidRPr="00D42E71" w:rsidRDefault="00114A4F" w:rsidP="008200CB">
            <w:pPr>
              <w:rPr>
                <w:b/>
                <w:bCs/>
                <w:lang w:val="en-US" w:eastAsia="ja-JP"/>
              </w:rPr>
            </w:pPr>
            <w:r w:rsidRPr="00D42E71">
              <w:rPr>
                <w:b/>
                <w:bCs/>
                <w:lang w:val="en-US" w:eastAsia="ja-JP"/>
              </w:rPr>
              <w:t>Model results</w:t>
            </w:r>
          </w:p>
        </w:tc>
        <w:tc>
          <w:tcPr>
            <w:tcW w:w="2254" w:type="dxa"/>
            <w:shd w:val="clear" w:color="auto" w:fill="EEECE1" w:themeFill="background2"/>
            <w:vAlign w:val="center"/>
          </w:tcPr>
          <w:p w14:paraId="7223E25C" w14:textId="77777777" w:rsidR="00114A4F" w:rsidRPr="00D42E71" w:rsidRDefault="00114A4F" w:rsidP="008200CB">
            <w:pPr>
              <w:rPr>
                <w:b/>
                <w:bCs/>
                <w:lang w:val="en-US" w:eastAsia="ja-JP"/>
              </w:rPr>
            </w:pPr>
            <w:r w:rsidRPr="00D42E71">
              <w:rPr>
                <w:b/>
                <w:bCs/>
                <w:lang w:val="en-US" w:eastAsia="ja-JP"/>
              </w:rPr>
              <w:t>Current ecosystem</w:t>
            </w:r>
          </w:p>
        </w:tc>
        <w:tc>
          <w:tcPr>
            <w:tcW w:w="2254" w:type="dxa"/>
            <w:shd w:val="clear" w:color="auto" w:fill="EEECE1" w:themeFill="background2"/>
            <w:vAlign w:val="center"/>
          </w:tcPr>
          <w:p w14:paraId="65AFE2A6" w14:textId="77777777" w:rsidR="00114A4F" w:rsidRPr="00D42E71" w:rsidRDefault="00114A4F" w:rsidP="008200CB">
            <w:pPr>
              <w:rPr>
                <w:b/>
                <w:bCs/>
                <w:lang w:val="en-US" w:eastAsia="ja-JP"/>
              </w:rPr>
            </w:pPr>
            <w:r w:rsidRPr="00D42E71">
              <w:rPr>
                <w:b/>
                <w:bCs/>
                <w:lang w:val="en-US" w:eastAsia="ja-JP"/>
              </w:rPr>
              <w:t>Commission proposals</w:t>
            </w:r>
          </w:p>
        </w:tc>
        <w:tc>
          <w:tcPr>
            <w:tcW w:w="2254" w:type="dxa"/>
            <w:shd w:val="clear" w:color="auto" w:fill="EEECE1" w:themeFill="background2"/>
            <w:vAlign w:val="center"/>
          </w:tcPr>
          <w:p w14:paraId="2796E4A1" w14:textId="6887377F" w:rsidR="00114A4F" w:rsidRPr="00D42E71" w:rsidRDefault="00114A4F" w:rsidP="008200CB">
            <w:pPr>
              <w:rPr>
                <w:b/>
                <w:bCs/>
                <w:lang w:val="en-US" w:eastAsia="ja-JP"/>
              </w:rPr>
            </w:pPr>
            <w:r>
              <w:rPr>
                <w:b/>
                <w:bCs/>
                <w:lang w:val="en-US" w:eastAsia="ja-JP"/>
              </w:rPr>
              <w:t>Commission proposals and environmental links</w:t>
            </w:r>
          </w:p>
        </w:tc>
      </w:tr>
      <w:tr w:rsidR="00114A4F" w14:paraId="0EF9F1D8" w14:textId="77777777" w:rsidTr="008200CB">
        <w:trPr>
          <w:trHeight w:val="506"/>
        </w:trPr>
        <w:tc>
          <w:tcPr>
            <w:tcW w:w="2254" w:type="dxa"/>
            <w:vAlign w:val="center"/>
          </w:tcPr>
          <w:p w14:paraId="0AFE6EE0" w14:textId="77777777" w:rsidR="00114A4F" w:rsidRDefault="00114A4F" w:rsidP="008200CB">
            <w:pPr>
              <w:rPr>
                <w:lang w:val="en-US" w:eastAsia="ja-JP"/>
              </w:rPr>
            </w:pPr>
            <w:r>
              <w:rPr>
                <w:lang w:val="en-US" w:eastAsia="ja-JP"/>
              </w:rPr>
              <w:t>Average rNPV</w:t>
            </w:r>
          </w:p>
        </w:tc>
        <w:tc>
          <w:tcPr>
            <w:tcW w:w="2254" w:type="dxa"/>
            <w:vAlign w:val="center"/>
          </w:tcPr>
          <w:p w14:paraId="5DF034EE" w14:textId="77777777" w:rsidR="00114A4F" w:rsidRDefault="00114A4F" w:rsidP="008200CB">
            <w:pPr>
              <w:rPr>
                <w:lang w:val="en-US" w:eastAsia="ja-JP"/>
              </w:rPr>
            </w:pPr>
            <w:r>
              <w:rPr>
                <w:rFonts w:cs="Arial"/>
                <w:lang w:val="en-US" w:eastAsia="ja-JP"/>
              </w:rPr>
              <w:t>€10.1 million</w:t>
            </w:r>
          </w:p>
        </w:tc>
        <w:tc>
          <w:tcPr>
            <w:tcW w:w="2254" w:type="dxa"/>
            <w:vAlign w:val="center"/>
          </w:tcPr>
          <w:p w14:paraId="632B7915" w14:textId="77777777" w:rsidR="00114A4F" w:rsidRDefault="00114A4F" w:rsidP="008200CB">
            <w:pPr>
              <w:rPr>
                <w:lang w:val="en-US" w:eastAsia="ja-JP"/>
              </w:rPr>
            </w:pPr>
            <w:r>
              <w:rPr>
                <w:rFonts w:cs="Arial"/>
                <w:lang w:val="en-US" w:eastAsia="ja-JP"/>
              </w:rPr>
              <w:t>€4.6 million</w:t>
            </w:r>
          </w:p>
        </w:tc>
        <w:tc>
          <w:tcPr>
            <w:tcW w:w="2254" w:type="dxa"/>
            <w:vAlign w:val="center"/>
          </w:tcPr>
          <w:p w14:paraId="15D106AE" w14:textId="7B7D6004" w:rsidR="00114A4F" w:rsidRDefault="00FF0723" w:rsidP="008200CB">
            <w:pPr>
              <w:rPr>
                <w:lang w:val="en-US" w:eastAsia="ja-JP"/>
              </w:rPr>
            </w:pPr>
            <w:r>
              <w:rPr>
                <w:rFonts w:cs="Arial"/>
                <w:lang w:val="en-US" w:eastAsia="ja-JP"/>
              </w:rPr>
              <w:t>-</w:t>
            </w:r>
            <w:r w:rsidR="00114A4F">
              <w:rPr>
                <w:rFonts w:cs="Arial"/>
                <w:lang w:val="en-US" w:eastAsia="ja-JP"/>
              </w:rPr>
              <w:t>€</w:t>
            </w:r>
            <w:r>
              <w:rPr>
                <w:rFonts w:cs="Arial"/>
                <w:lang w:val="en-US" w:eastAsia="ja-JP"/>
              </w:rPr>
              <w:t>0.7</w:t>
            </w:r>
            <w:r w:rsidR="00114A4F">
              <w:rPr>
                <w:rFonts w:cs="Arial"/>
                <w:lang w:val="en-US" w:eastAsia="ja-JP"/>
              </w:rPr>
              <w:t xml:space="preserve"> million</w:t>
            </w:r>
          </w:p>
        </w:tc>
      </w:tr>
      <w:tr w:rsidR="00114A4F" w14:paraId="0AE6CD80" w14:textId="77777777" w:rsidTr="008200CB">
        <w:trPr>
          <w:trHeight w:val="506"/>
        </w:trPr>
        <w:tc>
          <w:tcPr>
            <w:tcW w:w="2254" w:type="dxa"/>
            <w:vAlign w:val="center"/>
          </w:tcPr>
          <w:p w14:paraId="25BF9A87" w14:textId="77777777" w:rsidR="00114A4F" w:rsidRPr="00D42E71" w:rsidRDefault="00114A4F" w:rsidP="008200CB">
            <w:pPr>
              <w:rPr>
                <w:i/>
                <w:iCs/>
                <w:lang w:val="en-US" w:eastAsia="ja-JP"/>
              </w:rPr>
            </w:pPr>
            <w:r>
              <w:rPr>
                <w:i/>
                <w:iCs/>
                <w:lang w:val="en-US" w:eastAsia="ja-JP"/>
              </w:rPr>
              <w:t>Change vs. current ecosystem</w:t>
            </w:r>
          </w:p>
        </w:tc>
        <w:tc>
          <w:tcPr>
            <w:tcW w:w="2254" w:type="dxa"/>
            <w:vAlign w:val="center"/>
          </w:tcPr>
          <w:p w14:paraId="4297E337" w14:textId="77777777" w:rsidR="00114A4F" w:rsidRDefault="00114A4F" w:rsidP="008200CB">
            <w:pPr>
              <w:rPr>
                <w:lang w:val="en-US" w:eastAsia="ja-JP"/>
              </w:rPr>
            </w:pPr>
            <w:r>
              <w:rPr>
                <w:lang w:val="en-US" w:eastAsia="ja-JP"/>
              </w:rPr>
              <w:t>-</w:t>
            </w:r>
          </w:p>
        </w:tc>
        <w:tc>
          <w:tcPr>
            <w:tcW w:w="2254" w:type="dxa"/>
            <w:vAlign w:val="center"/>
          </w:tcPr>
          <w:p w14:paraId="57F49B55" w14:textId="77777777" w:rsidR="00114A4F" w:rsidRDefault="00114A4F" w:rsidP="008200CB">
            <w:pPr>
              <w:rPr>
                <w:lang w:val="en-US" w:eastAsia="ja-JP"/>
              </w:rPr>
            </w:pPr>
            <w:r>
              <w:rPr>
                <w:lang w:val="en-US" w:eastAsia="ja-JP"/>
              </w:rPr>
              <w:t>-55%</w:t>
            </w:r>
          </w:p>
        </w:tc>
        <w:tc>
          <w:tcPr>
            <w:tcW w:w="2254" w:type="dxa"/>
            <w:vAlign w:val="center"/>
          </w:tcPr>
          <w:p w14:paraId="5DF7EA5D" w14:textId="6E57E453" w:rsidR="00114A4F" w:rsidRDefault="00114A4F" w:rsidP="008200CB">
            <w:pPr>
              <w:rPr>
                <w:lang w:val="en-US" w:eastAsia="ja-JP"/>
              </w:rPr>
            </w:pPr>
            <w:r>
              <w:rPr>
                <w:lang w:val="en-US" w:eastAsia="ja-JP"/>
              </w:rPr>
              <w:t>-</w:t>
            </w:r>
            <w:r w:rsidR="00FF0723">
              <w:rPr>
                <w:lang w:val="en-US" w:eastAsia="ja-JP"/>
              </w:rPr>
              <w:t>106</w:t>
            </w:r>
            <w:r>
              <w:rPr>
                <w:lang w:val="en-US" w:eastAsia="ja-JP"/>
              </w:rPr>
              <w:t>%</w:t>
            </w:r>
          </w:p>
        </w:tc>
      </w:tr>
      <w:tr w:rsidR="00114A4F" w14:paraId="0B4C80CC" w14:textId="77777777" w:rsidTr="008200CB">
        <w:trPr>
          <w:trHeight w:val="506"/>
        </w:trPr>
        <w:tc>
          <w:tcPr>
            <w:tcW w:w="2254" w:type="dxa"/>
            <w:vAlign w:val="center"/>
          </w:tcPr>
          <w:p w14:paraId="53666790" w14:textId="77777777" w:rsidR="00114A4F" w:rsidRDefault="00114A4F" w:rsidP="008200CB">
            <w:pPr>
              <w:rPr>
                <w:lang w:val="en-US" w:eastAsia="ja-JP"/>
              </w:rPr>
            </w:pPr>
            <w:r>
              <w:rPr>
                <w:lang w:val="en-US" w:eastAsia="ja-JP"/>
              </w:rPr>
              <w:t xml:space="preserve">Innovation expected by 2035 </w:t>
            </w:r>
          </w:p>
        </w:tc>
        <w:tc>
          <w:tcPr>
            <w:tcW w:w="2254" w:type="dxa"/>
            <w:vAlign w:val="center"/>
          </w:tcPr>
          <w:p w14:paraId="1A9FE4C5" w14:textId="77777777" w:rsidR="00114A4F" w:rsidRDefault="00114A4F" w:rsidP="008200CB">
            <w:pPr>
              <w:rPr>
                <w:lang w:val="en-US" w:eastAsia="ja-JP"/>
              </w:rPr>
            </w:pPr>
            <w:r>
              <w:rPr>
                <w:lang w:val="en-US" w:eastAsia="ja-JP"/>
              </w:rPr>
              <w:t>225 products</w:t>
            </w:r>
          </w:p>
        </w:tc>
        <w:tc>
          <w:tcPr>
            <w:tcW w:w="2254" w:type="dxa"/>
            <w:vAlign w:val="center"/>
          </w:tcPr>
          <w:p w14:paraId="03180ACC" w14:textId="43E73662" w:rsidR="00114A4F" w:rsidRDefault="00114A4F" w:rsidP="008200CB">
            <w:pPr>
              <w:rPr>
                <w:lang w:val="en-US" w:eastAsia="ja-JP"/>
              </w:rPr>
            </w:pPr>
            <w:r>
              <w:rPr>
                <w:lang w:val="en-US" w:eastAsia="ja-JP"/>
              </w:rPr>
              <w:t>1</w:t>
            </w:r>
            <w:r w:rsidR="0066532D">
              <w:rPr>
                <w:lang w:val="en-US" w:eastAsia="ja-JP"/>
              </w:rPr>
              <w:t>75</w:t>
            </w:r>
            <w:r>
              <w:rPr>
                <w:lang w:val="en-US" w:eastAsia="ja-JP"/>
              </w:rPr>
              <w:t xml:space="preserve"> products </w:t>
            </w:r>
          </w:p>
        </w:tc>
        <w:tc>
          <w:tcPr>
            <w:tcW w:w="2254" w:type="dxa"/>
            <w:vAlign w:val="center"/>
          </w:tcPr>
          <w:p w14:paraId="4C62F48C" w14:textId="34C962E7" w:rsidR="00114A4F" w:rsidRDefault="0066532D" w:rsidP="008200CB">
            <w:pPr>
              <w:rPr>
                <w:lang w:val="en-US" w:eastAsia="ja-JP"/>
              </w:rPr>
            </w:pPr>
            <w:r>
              <w:rPr>
                <w:lang w:val="en-US" w:eastAsia="ja-JP"/>
              </w:rPr>
              <w:t>101</w:t>
            </w:r>
            <w:r w:rsidR="00114A4F">
              <w:rPr>
                <w:lang w:val="en-US" w:eastAsia="ja-JP"/>
              </w:rPr>
              <w:t xml:space="preserve"> products </w:t>
            </w:r>
          </w:p>
        </w:tc>
      </w:tr>
      <w:tr w:rsidR="00114A4F" w14:paraId="767BA6E5" w14:textId="77777777" w:rsidTr="008200CB">
        <w:trPr>
          <w:trHeight w:val="506"/>
        </w:trPr>
        <w:tc>
          <w:tcPr>
            <w:tcW w:w="2254" w:type="dxa"/>
            <w:vAlign w:val="center"/>
          </w:tcPr>
          <w:p w14:paraId="10F5C5BD" w14:textId="77777777" w:rsidR="00114A4F" w:rsidRDefault="00114A4F" w:rsidP="008200CB">
            <w:pPr>
              <w:rPr>
                <w:lang w:val="en-US" w:eastAsia="ja-JP"/>
              </w:rPr>
            </w:pPr>
            <w:r>
              <w:rPr>
                <w:i/>
                <w:iCs/>
                <w:lang w:val="en-US" w:eastAsia="ja-JP"/>
              </w:rPr>
              <w:t>Change vs. current ecosystem</w:t>
            </w:r>
          </w:p>
        </w:tc>
        <w:tc>
          <w:tcPr>
            <w:tcW w:w="2254" w:type="dxa"/>
            <w:vAlign w:val="center"/>
          </w:tcPr>
          <w:p w14:paraId="3FAF9CE8" w14:textId="77777777" w:rsidR="00114A4F" w:rsidRDefault="00114A4F" w:rsidP="008200CB">
            <w:pPr>
              <w:rPr>
                <w:lang w:val="en-US" w:eastAsia="ja-JP"/>
              </w:rPr>
            </w:pPr>
            <w:r>
              <w:rPr>
                <w:lang w:val="en-US" w:eastAsia="ja-JP"/>
              </w:rPr>
              <w:t>-</w:t>
            </w:r>
          </w:p>
        </w:tc>
        <w:tc>
          <w:tcPr>
            <w:tcW w:w="2254" w:type="dxa"/>
            <w:vAlign w:val="center"/>
          </w:tcPr>
          <w:p w14:paraId="4F23416E" w14:textId="68F5942E" w:rsidR="00114A4F" w:rsidRDefault="0066532D" w:rsidP="008200CB">
            <w:pPr>
              <w:rPr>
                <w:lang w:val="en-US" w:eastAsia="ja-JP"/>
              </w:rPr>
            </w:pPr>
            <w:r>
              <w:rPr>
                <w:lang w:val="en-US" w:eastAsia="ja-JP"/>
              </w:rPr>
              <w:t>50</w:t>
            </w:r>
            <w:r w:rsidR="00114A4F">
              <w:rPr>
                <w:lang w:val="en-US" w:eastAsia="ja-JP"/>
              </w:rPr>
              <w:t xml:space="preserve"> products “lost” (22%)</w:t>
            </w:r>
          </w:p>
        </w:tc>
        <w:tc>
          <w:tcPr>
            <w:tcW w:w="2254" w:type="dxa"/>
            <w:vAlign w:val="center"/>
          </w:tcPr>
          <w:p w14:paraId="1691E7F0" w14:textId="5FB7EAAD" w:rsidR="00114A4F" w:rsidRDefault="0066532D" w:rsidP="008200CB">
            <w:pPr>
              <w:rPr>
                <w:lang w:val="en-US" w:eastAsia="ja-JP"/>
              </w:rPr>
            </w:pPr>
            <w:r>
              <w:rPr>
                <w:lang w:val="en-US" w:eastAsia="ja-JP"/>
              </w:rPr>
              <w:t>124</w:t>
            </w:r>
            <w:r w:rsidR="00114A4F">
              <w:rPr>
                <w:lang w:val="en-US" w:eastAsia="ja-JP"/>
              </w:rPr>
              <w:t xml:space="preserve"> products “lost” (</w:t>
            </w:r>
            <w:r>
              <w:rPr>
                <w:lang w:val="en-US" w:eastAsia="ja-JP"/>
              </w:rPr>
              <w:t>55</w:t>
            </w:r>
            <w:r w:rsidR="00114A4F">
              <w:rPr>
                <w:lang w:val="en-US" w:eastAsia="ja-JP"/>
              </w:rPr>
              <w:t>%)</w:t>
            </w:r>
          </w:p>
        </w:tc>
      </w:tr>
    </w:tbl>
    <w:p w14:paraId="3D7C50EB" w14:textId="77777777" w:rsidR="00114A4F" w:rsidRDefault="00114A4F" w:rsidP="00114A4F"/>
    <w:p w14:paraId="691CA50E" w14:textId="77777777" w:rsidR="002D24A4" w:rsidRDefault="002D24A4" w:rsidP="00114A4F"/>
    <w:p w14:paraId="44906927" w14:textId="77777777" w:rsidR="002D24A4" w:rsidRPr="00114A4F" w:rsidRDefault="002D24A4" w:rsidP="00114A4F"/>
    <w:p w14:paraId="0C6E332F" w14:textId="623ED39E" w:rsidR="00EE5335" w:rsidRDefault="00EE5335" w:rsidP="00EE5335">
      <w:pPr>
        <w:pStyle w:val="Ttulo2"/>
      </w:pPr>
      <w:r w:rsidRPr="00EE5335">
        <w:lastRenderedPageBreak/>
        <w:t xml:space="preserve">Access. </w:t>
      </w:r>
      <w:r w:rsidR="00114A4F" w:rsidRPr="00114A4F">
        <w:t xml:space="preserve">Reducing RDP duration makes filing across </w:t>
      </w:r>
      <w:r w:rsidR="043AFBEA">
        <w:t xml:space="preserve">all </w:t>
      </w:r>
      <w:r w:rsidR="00114A4F" w:rsidRPr="00114A4F">
        <w:t xml:space="preserve">Member States more challenging for industry, especially for </w:t>
      </w:r>
      <w:proofErr w:type="gramStart"/>
      <w:r w:rsidR="00114A4F" w:rsidRPr="00114A4F">
        <w:t>SMEs</w:t>
      </w:r>
      <w:proofErr w:type="gramEnd"/>
    </w:p>
    <w:p w14:paraId="0D4808A4" w14:textId="6548421E" w:rsidR="005617EB" w:rsidRDefault="005617EB" w:rsidP="005617EB">
      <w:pPr>
        <w:jc w:val="both"/>
      </w:pPr>
      <w:r>
        <w:t xml:space="preserve">Our final analysis shifts perspective to focus on the dynamics of launch across </w:t>
      </w:r>
      <w:r w:rsidR="6433A643">
        <w:t xml:space="preserve">all </w:t>
      </w:r>
      <w:r>
        <w:t xml:space="preserve">Member States. Results are presented in </w:t>
      </w:r>
      <w:r>
        <w:fldChar w:fldCharType="begin"/>
      </w:r>
      <w:r>
        <w:instrText xml:space="preserve"> REF _Ref146576804 \h </w:instrText>
      </w:r>
      <w:r>
        <w:fldChar w:fldCharType="separate"/>
      </w:r>
      <w:r w:rsidRPr="00FF0723">
        <w:t xml:space="preserve">Table </w:t>
      </w:r>
      <w:r w:rsidRPr="00FF0723">
        <w:rPr>
          <w:noProof/>
        </w:rPr>
        <w:t>4</w:t>
      </w:r>
      <w:r>
        <w:fldChar w:fldCharType="end"/>
      </w:r>
      <w:r>
        <w:t xml:space="preserve">; they should be seen as conceptual and indicative, rather than </w:t>
      </w:r>
      <w:r w:rsidR="00B21FB1">
        <w:t xml:space="preserve">as </w:t>
      </w:r>
      <w:r>
        <w:t>a direct reflection of reality.</w:t>
      </w:r>
    </w:p>
    <w:p w14:paraId="0BA6CBF3" w14:textId="4328DCA0" w:rsidR="005617EB" w:rsidRDefault="00215050" w:rsidP="00215050">
      <w:pPr>
        <w:spacing w:after="0"/>
        <w:jc w:val="both"/>
      </w:pPr>
      <w:r>
        <w:t>We identify two takeaways from these results.</w:t>
      </w:r>
    </w:p>
    <w:p w14:paraId="27FD59CA" w14:textId="31670056" w:rsidR="00215050" w:rsidRDefault="00215050" w:rsidP="00B50D05">
      <w:pPr>
        <w:pStyle w:val="Prrafodelista"/>
        <w:numPr>
          <w:ilvl w:val="0"/>
          <w:numId w:val="17"/>
        </w:numPr>
        <w:jc w:val="both"/>
      </w:pPr>
      <w:r>
        <w:t>Even within the current legislative framework, it is challenging for companies to reach the entirety of the European population while ensuring a sustainable return on investment. This is particularly the case for SMEs, and more pronounced for rare diseases than more prevalent ones.</w:t>
      </w:r>
    </w:p>
    <w:p w14:paraId="18C1528A" w14:textId="1DFA2C88" w:rsidR="00215050" w:rsidRDefault="00215050" w:rsidP="00B50D05">
      <w:pPr>
        <w:pStyle w:val="Prrafodelista"/>
        <w:numPr>
          <w:ilvl w:val="0"/>
          <w:numId w:val="17"/>
        </w:numPr>
        <w:jc w:val="both"/>
      </w:pPr>
      <w:r>
        <w:t xml:space="preserve">IP incentives have a direct impact on the economic viability of launch. The logic is clear: extended market protection improves the economics of supplying a medicine </w:t>
      </w:r>
      <w:proofErr w:type="gramStart"/>
      <w:r>
        <w:t>in a given</w:t>
      </w:r>
      <w:proofErr w:type="gramEnd"/>
      <w:r>
        <w:t xml:space="preserve"> country, including where the patient population is small and/or prices are constrained. Conversely, reduced market protection decreases the economic proposition for launch.</w:t>
      </w:r>
    </w:p>
    <w:p w14:paraId="1845A076" w14:textId="0C140335" w:rsidR="00FF0723" w:rsidRPr="00FF0723" w:rsidRDefault="00FF0723" w:rsidP="00215050">
      <w:pPr>
        <w:pStyle w:val="Descripcin"/>
        <w:jc w:val="both"/>
        <w:rPr>
          <w:sz w:val="22"/>
          <w:szCs w:val="22"/>
          <w:lang w:val="en-GB"/>
        </w:rPr>
      </w:pPr>
      <w:bookmarkStart w:id="6" w:name="_Ref146576804"/>
      <w:r w:rsidRPr="00FF0723">
        <w:rPr>
          <w:sz w:val="22"/>
          <w:szCs w:val="22"/>
        </w:rPr>
        <w:t xml:space="preserve">Table </w:t>
      </w:r>
      <w:r w:rsidRPr="00FF0723">
        <w:rPr>
          <w:sz w:val="22"/>
          <w:szCs w:val="22"/>
        </w:rPr>
        <w:fldChar w:fldCharType="begin"/>
      </w:r>
      <w:r w:rsidRPr="00FF0723">
        <w:rPr>
          <w:sz w:val="22"/>
          <w:szCs w:val="22"/>
        </w:rPr>
        <w:instrText xml:space="preserve"> SEQ Table \* ARABIC </w:instrText>
      </w:r>
      <w:r w:rsidRPr="00FF0723">
        <w:rPr>
          <w:sz w:val="22"/>
          <w:szCs w:val="22"/>
        </w:rPr>
        <w:fldChar w:fldCharType="separate"/>
      </w:r>
      <w:r w:rsidRPr="00FF0723">
        <w:rPr>
          <w:noProof/>
          <w:sz w:val="22"/>
          <w:szCs w:val="22"/>
        </w:rPr>
        <w:t>4</w:t>
      </w:r>
      <w:r w:rsidRPr="00FF0723">
        <w:rPr>
          <w:sz w:val="22"/>
          <w:szCs w:val="22"/>
        </w:rPr>
        <w:fldChar w:fldCharType="end"/>
      </w:r>
      <w:bookmarkEnd w:id="6"/>
      <w:r>
        <w:rPr>
          <w:sz w:val="22"/>
          <w:szCs w:val="22"/>
        </w:rPr>
        <w:t xml:space="preserve">. </w:t>
      </w:r>
      <w:r w:rsidRPr="00FF0723">
        <w:rPr>
          <w:sz w:val="22"/>
          <w:szCs w:val="22"/>
        </w:rPr>
        <w:t xml:space="preserve">Share of EU population living in a country where launch is economically </w:t>
      </w:r>
      <w:proofErr w:type="gramStart"/>
      <w:r w:rsidRPr="00FF0723">
        <w:rPr>
          <w:sz w:val="22"/>
          <w:szCs w:val="22"/>
        </w:rPr>
        <w:t>viable</w:t>
      </w:r>
      <w:proofErr w:type="gramEnd"/>
      <w:r w:rsidRPr="00FF0723">
        <w:rPr>
          <w:sz w:val="22"/>
          <w:szCs w:val="22"/>
        </w:rPr>
        <w:t xml:space="preserve"> </w:t>
      </w:r>
    </w:p>
    <w:p w14:paraId="6DF5C770" w14:textId="5BC70115" w:rsidR="00114A4F" w:rsidRPr="00114A4F" w:rsidRDefault="00114A4F" w:rsidP="00BF1993">
      <w:pPr>
        <w:jc w:val="center"/>
      </w:pPr>
      <w:r>
        <w:rPr>
          <w:noProof/>
        </w:rPr>
        <w:drawing>
          <wp:inline distT="0" distB="0" distL="0" distR="0" wp14:anchorId="7E65DE59" wp14:editId="4FFA4EDC">
            <wp:extent cx="4529444" cy="2676525"/>
            <wp:effectExtent l="0" t="0" r="0" b="0"/>
            <wp:docPr id="1855906262" name="Picture 1855906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34871" cy="2679732"/>
                    </a:xfrm>
                    <a:prstGeom prst="rect">
                      <a:avLst/>
                    </a:prstGeom>
                    <a:noFill/>
                  </pic:spPr>
                </pic:pic>
              </a:graphicData>
            </a:graphic>
          </wp:inline>
        </w:drawing>
      </w:r>
    </w:p>
    <w:p w14:paraId="60C8F6C8" w14:textId="1A62A214" w:rsidR="00916F6E" w:rsidRDefault="00E562D1" w:rsidP="00EE5335">
      <w:pPr>
        <w:pStyle w:val="Ttulo2"/>
      </w:pPr>
      <w:r>
        <w:t xml:space="preserve">Limitations. Results should be interpreted carefully, in light of our studies’ methodological </w:t>
      </w:r>
      <w:proofErr w:type="gramStart"/>
      <w:r>
        <w:t>limitations</w:t>
      </w:r>
      <w:proofErr w:type="gramEnd"/>
    </w:p>
    <w:p w14:paraId="0D5965E4" w14:textId="37398B27" w:rsidR="00B31497" w:rsidRDefault="00E562D1" w:rsidP="00E562D1">
      <w:pPr>
        <w:jc w:val="both"/>
      </w:pPr>
      <w:r>
        <w:t xml:space="preserve">Predicting the impact of legislative changes as profound as those </w:t>
      </w:r>
      <w:r w:rsidR="42F7D60C">
        <w:t xml:space="preserve">proposed to be </w:t>
      </w:r>
      <w:r>
        <w:t xml:space="preserve">introduced by the Commission, in a field as complex as the biopharmaceutical industry, </w:t>
      </w:r>
      <w:r w:rsidR="00D84D7D">
        <w:t>is notoriously challenging</w:t>
      </w:r>
      <w:r>
        <w:t xml:space="preserve">. Limitations inherent to our methodological approach and relative to limited data availability (especially the lack of </w:t>
      </w:r>
      <w:r w:rsidR="00916F6E" w:rsidRPr="00801721">
        <w:t>specific data for products dependent on RDP as their last form of protection</w:t>
      </w:r>
      <w:r>
        <w:t>) should be kept in mind</w:t>
      </w:r>
      <w:r w:rsidR="009A565F">
        <w:t xml:space="preserve"> as major caveats</w:t>
      </w:r>
      <w:r>
        <w:t xml:space="preserve"> when interpreting results</w:t>
      </w:r>
      <w:r w:rsidR="0094679D">
        <w:rPr>
          <w:rStyle w:val="Refdenotaalpie"/>
        </w:rPr>
        <w:footnoteReference w:id="45"/>
      </w:r>
      <w:r>
        <w:t>.</w:t>
      </w:r>
      <w:r w:rsidR="009A565F">
        <w:t xml:space="preserve"> Crucially, </w:t>
      </w:r>
      <w:r w:rsidR="007B1ED3">
        <w:t>our reliance</w:t>
      </w:r>
      <w:r w:rsidR="009A565F">
        <w:t xml:space="preserve"> on historical averages likely</w:t>
      </w:r>
      <w:r w:rsidR="007B1ED3">
        <w:t xml:space="preserve"> </w:t>
      </w:r>
      <w:r w:rsidR="009A565F">
        <w:t xml:space="preserve">improperly represents the </w:t>
      </w:r>
      <w:r w:rsidR="0094679D">
        <w:t xml:space="preserve">evolution of the biopharmaceutical industry in the coming decades. </w:t>
      </w:r>
      <w:r w:rsidR="00B31497">
        <w:t xml:space="preserve">Nonetheless, while the exact </w:t>
      </w:r>
      <w:r w:rsidR="00B31497" w:rsidRPr="00B31497">
        <w:rPr>
          <w:i/>
          <w:iCs/>
        </w:rPr>
        <w:t>magnitude</w:t>
      </w:r>
      <w:r w:rsidR="00B31497">
        <w:t xml:space="preserve"> of the impact might </w:t>
      </w:r>
      <w:r w:rsidR="00B31497" w:rsidRPr="00DC5680">
        <w:t xml:space="preserve">come </w:t>
      </w:r>
      <w:r w:rsidR="00B31497">
        <w:t xml:space="preserve">to be different, the </w:t>
      </w:r>
      <w:r w:rsidR="00B31497" w:rsidRPr="00B31497">
        <w:rPr>
          <w:i/>
          <w:iCs/>
        </w:rPr>
        <w:t>direction</w:t>
      </w:r>
      <w:r w:rsidR="00B31497">
        <w:t xml:space="preserve"> of the impact will not change.</w:t>
      </w:r>
    </w:p>
    <w:p w14:paraId="4189EDF7" w14:textId="689D0335" w:rsidR="00FD236A" w:rsidRDefault="00FD236A" w:rsidP="00FD236A">
      <w:pPr>
        <w:jc w:val="both"/>
      </w:pPr>
      <w:r>
        <w:lastRenderedPageBreak/>
        <w:t xml:space="preserve">While pharmaceutical investment decisions are fundamentally global in nature; our model isolates the impact of European legislative changes on European innovation. It is possible that the 50 products </w:t>
      </w:r>
      <w:proofErr w:type="gramStart"/>
      <w:r>
        <w:t>aforementioned may</w:t>
      </w:r>
      <w:proofErr w:type="gramEnd"/>
      <w:r>
        <w:t xml:space="preserve"> not be </w:t>
      </w:r>
      <w:r w:rsidR="00BF137D">
        <w:t xml:space="preserve">lost </w:t>
      </w:r>
      <w:r>
        <w:t xml:space="preserve">in practice, </w:t>
      </w:r>
      <w:r w:rsidRPr="006449FF">
        <w:rPr>
          <w:i/>
          <w:iCs/>
        </w:rPr>
        <w:t>if other regions disproportionately contribute to</w:t>
      </w:r>
      <w:r>
        <w:rPr>
          <w:i/>
          <w:iCs/>
        </w:rPr>
        <w:t xml:space="preserve"> global</w:t>
      </w:r>
      <w:r w:rsidRPr="006449FF">
        <w:rPr>
          <w:i/>
          <w:iCs/>
        </w:rPr>
        <w:t xml:space="preserve"> incentives for innovation</w:t>
      </w:r>
      <w:r>
        <w:t xml:space="preserve">. </w:t>
      </w:r>
      <w:proofErr w:type="gramStart"/>
      <w:r>
        <w:t>In particular, historically</w:t>
      </w:r>
      <w:proofErr w:type="gramEnd"/>
      <w:r>
        <w:t xml:space="preserve"> the US pharmaceutical market has be</w:t>
      </w:r>
      <w:r w:rsidR="008B756D">
        <w:t>en</w:t>
      </w:r>
      <w:r>
        <w:t xml:space="preserve"> perceived to underwrite investment in biopharmaceutical innovation and subsidise new product development in other regions, including Europe. However, with the introduction of tougher price negotiation requirements in the Inflation Reduction Act, it is less likely that drops in incentives in Europe will be offset by increased expenditure in the US.</w:t>
      </w:r>
    </w:p>
    <w:p w14:paraId="36A522F3" w14:textId="77777777" w:rsidR="00170015" w:rsidRDefault="003D3DCD" w:rsidP="00D71DFE">
      <w:pPr>
        <w:pStyle w:val="Heading1noborder"/>
      </w:pPr>
      <w:r w:rsidRPr="004C5A19">
        <w:t>Conclusion</w:t>
      </w:r>
    </w:p>
    <w:p w14:paraId="13081FD1" w14:textId="16928A65" w:rsidR="00D25BB5" w:rsidRPr="004C5A19" w:rsidRDefault="00CA1D2A" w:rsidP="00CA1D2A">
      <w:pPr>
        <w:jc w:val="both"/>
      </w:pPr>
      <w:r>
        <w:t xml:space="preserve">Although the revision of the </w:t>
      </w:r>
      <w:r w:rsidR="008B756D">
        <w:t>P</w:t>
      </w:r>
      <w:r>
        <w:t>harmaceutical</w:t>
      </w:r>
      <w:r w:rsidR="00D52141">
        <w:t xml:space="preserve"> </w:t>
      </w:r>
      <w:r w:rsidR="008B756D">
        <w:t>L</w:t>
      </w:r>
      <w:r w:rsidR="00524B01">
        <w:t>egislation</w:t>
      </w:r>
      <w:r>
        <w:t xml:space="preserve"> is a laudable initiative to </w:t>
      </w:r>
      <w:r w:rsidR="00D52141" w:rsidRPr="00D52141">
        <w:t>seek equal and affordable access, increase innovation and make the regulatory framework future proof</w:t>
      </w:r>
      <w:r w:rsidR="00D52141">
        <w:t xml:space="preserve">, </w:t>
      </w:r>
      <w:r>
        <w:t xml:space="preserve">proposed provisions </w:t>
      </w:r>
      <w:r w:rsidR="00206C1A">
        <w:t>do not appear well tailored to achieve the stated objectives</w:t>
      </w:r>
      <w:r>
        <w:t xml:space="preserve">. This should not be </w:t>
      </w:r>
      <w:r w:rsidR="00D52141">
        <w:t xml:space="preserve">misinterpreted </w:t>
      </w:r>
      <w:r>
        <w:t>as a net gain for society: decreasing the attractiveness of investment in Europe stands to have long-term consequences on the region’s ability to innovate, ultimately impacting patients and citizens alike.</w:t>
      </w:r>
      <w:r w:rsidR="00EE1FE8">
        <w:t xml:space="preserve"> </w:t>
      </w:r>
      <w:r w:rsidR="005E3A19" w:rsidRPr="00D71DFE">
        <w:t>Europe must create an ecosystem that actively nurtures innovation and encourages greater investment from pharmaceutical companies in pioneering therapeutic advancements.</w:t>
      </w:r>
    </w:p>
    <w:p w14:paraId="254616E1" w14:textId="77777777" w:rsidR="002D24A4" w:rsidRDefault="002D24A4">
      <w:pPr>
        <w:rPr>
          <w:rFonts w:eastAsiaTheme="majorEastAsia" w:cstheme="majorBidi"/>
          <w:b/>
          <w:bCs/>
          <w:sz w:val="24"/>
          <w:szCs w:val="24"/>
        </w:rPr>
      </w:pPr>
      <w:r>
        <w:br w:type="page"/>
      </w:r>
    </w:p>
    <w:p w14:paraId="5B92CA15" w14:textId="02A594B2" w:rsidR="00C93DCD" w:rsidRDefault="003D3DCD" w:rsidP="00D71DFE">
      <w:pPr>
        <w:pStyle w:val="Heading1noborder"/>
      </w:pPr>
      <w:r w:rsidRPr="004C5A19">
        <w:lastRenderedPageBreak/>
        <w:t xml:space="preserve">Appendices </w:t>
      </w:r>
    </w:p>
    <w:p w14:paraId="2F8987C2" w14:textId="6A90F952" w:rsidR="003E22E0" w:rsidRPr="00BA4054" w:rsidRDefault="001D0C09" w:rsidP="00C93DCD">
      <w:pPr>
        <w:rPr>
          <w:i/>
          <w:iCs/>
        </w:rPr>
      </w:pPr>
      <w:r>
        <w:rPr>
          <w:i/>
          <w:iCs/>
        </w:rPr>
        <w:t>Appendix I. I</w:t>
      </w:r>
      <w:r w:rsidR="003E22E0">
        <w:rPr>
          <w:i/>
          <w:iCs/>
        </w:rPr>
        <w:t xml:space="preserve">nnovation model: </w:t>
      </w:r>
      <w:r w:rsidRPr="001D0C09">
        <w:rPr>
          <w:i/>
          <w:iCs/>
        </w:rPr>
        <w:t xml:space="preserve">rNPV model inputs used in the base </w:t>
      </w:r>
      <w:proofErr w:type="gramStart"/>
      <w:r w:rsidRPr="001D0C09">
        <w:rPr>
          <w:i/>
          <w:iCs/>
        </w:rPr>
        <w:t>case</w:t>
      </w:r>
      <w:proofErr w:type="gramEnd"/>
    </w:p>
    <w:tbl>
      <w:tblPr>
        <w:tblStyle w:val="Tablaconcuadrcula"/>
        <w:tblW w:w="0" w:type="auto"/>
        <w:tblInd w:w="-5" w:type="dxa"/>
        <w:tblLook w:val="04A0" w:firstRow="1" w:lastRow="0" w:firstColumn="1" w:lastColumn="0" w:noHBand="0" w:noVBand="1"/>
      </w:tblPr>
      <w:tblGrid>
        <w:gridCol w:w="1502"/>
        <w:gridCol w:w="2410"/>
        <w:gridCol w:w="5019"/>
      </w:tblGrid>
      <w:tr w:rsidR="001D0C09" w14:paraId="5DC48DF3" w14:textId="77777777" w:rsidTr="001D0C09">
        <w:trPr>
          <w:trHeight w:val="340"/>
        </w:trPr>
        <w:tc>
          <w:tcPr>
            <w:tcW w:w="1502" w:type="dxa"/>
            <w:shd w:val="clear" w:color="auto" w:fill="D9D9D9" w:themeFill="background1" w:themeFillShade="D9"/>
            <w:vAlign w:val="center"/>
          </w:tcPr>
          <w:p w14:paraId="2401DF33" w14:textId="2B15ABA0" w:rsidR="001D0C09" w:rsidRPr="00893886" w:rsidRDefault="001D0C09" w:rsidP="007659CD">
            <w:pPr>
              <w:rPr>
                <w:b/>
                <w:bCs/>
              </w:rPr>
            </w:pPr>
            <w:r w:rsidRPr="00893886">
              <w:rPr>
                <w:b/>
                <w:bCs/>
              </w:rPr>
              <w:t>Input</w:t>
            </w:r>
          </w:p>
        </w:tc>
        <w:tc>
          <w:tcPr>
            <w:tcW w:w="2410" w:type="dxa"/>
            <w:shd w:val="clear" w:color="auto" w:fill="D9D9D9" w:themeFill="background1" w:themeFillShade="D9"/>
            <w:vAlign w:val="center"/>
          </w:tcPr>
          <w:p w14:paraId="76DC7227" w14:textId="1BAD0BC1" w:rsidR="001D0C09" w:rsidRPr="00893886" w:rsidRDefault="001D0C09" w:rsidP="007659CD">
            <w:pPr>
              <w:rPr>
                <w:b/>
                <w:bCs/>
              </w:rPr>
            </w:pPr>
            <w:r w:rsidRPr="00893886">
              <w:rPr>
                <w:b/>
                <w:bCs/>
              </w:rPr>
              <w:t>Value</w:t>
            </w:r>
          </w:p>
        </w:tc>
        <w:tc>
          <w:tcPr>
            <w:tcW w:w="5019" w:type="dxa"/>
            <w:shd w:val="clear" w:color="auto" w:fill="D9D9D9" w:themeFill="background1" w:themeFillShade="D9"/>
            <w:vAlign w:val="center"/>
          </w:tcPr>
          <w:p w14:paraId="02143F14" w14:textId="74D7A8BD" w:rsidR="001D0C09" w:rsidRPr="00893886" w:rsidRDefault="001D0C09" w:rsidP="007659CD">
            <w:pPr>
              <w:rPr>
                <w:b/>
                <w:bCs/>
              </w:rPr>
            </w:pPr>
            <w:r w:rsidRPr="00893886">
              <w:rPr>
                <w:b/>
                <w:bCs/>
              </w:rPr>
              <w:t>Details</w:t>
            </w:r>
          </w:p>
        </w:tc>
      </w:tr>
      <w:tr w:rsidR="001D0C09" w14:paraId="40C2EDBC" w14:textId="77777777" w:rsidTr="001D0C09">
        <w:trPr>
          <w:cantSplit/>
          <w:trHeight w:val="340"/>
        </w:trPr>
        <w:tc>
          <w:tcPr>
            <w:tcW w:w="8931" w:type="dxa"/>
            <w:gridSpan w:val="3"/>
            <w:shd w:val="clear" w:color="auto" w:fill="F2F2F2" w:themeFill="background1" w:themeFillShade="F2"/>
            <w:vAlign w:val="center"/>
          </w:tcPr>
          <w:p w14:paraId="5A49154C" w14:textId="3392A582" w:rsidR="001D0C09" w:rsidRPr="001D0C09" w:rsidRDefault="001D0C09" w:rsidP="001D0C09">
            <w:pPr>
              <w:rPr>
                <w:b/>
                <w:bCs/>
              </w:rPr>
            </w:pPr>
            <w:r w:rsidRPr="001D0C09">
              <w:rPr>
                <w:b/>
                <w:bCs/>
              </w:rPr>
              <w:t>Revenue</w:t>
            </w:r>
          </w:p>
        </w:tc>
      </w:tr>
      <w:tr w:rsidR="001D0C09" w14:paraId="1A6F1DE3" w14:textId="77777777" w:rsidTr="001D0C09">
        <w:trPr>
          <w:cantSplit/>
          <w:trHeight w:val="1275"/>
        </w:trPr>
        <w:tc>
          <w:tcPr>
            <w:tcW w:w="1502" w:type="dxa"/>
            <w:vAlign w:val="center"/>
          </w:tcPr>
          <w:p w14:paraId="39E2776E" w14:textId="6DCD7556" w:rsidR="001D0C09" w:rsidRDefault="00FA78DB" w:rsidP="007659CD">
            <w:r>
              <w:t>Average yearly turnover</w:t>
            </w:r>
          </w:p>
        </w:tc>
        <w:tc>
          <w:tcPr>
            <w:tcW w:w="2410" w:type="dxa"/>
            <w:vAlign w:val="center"/>
          </w:tcPr>
          <w:p w14:paraId="400C7B85" w14:textId="4CEE702C" w:rsidR="001D0C09" w:rsidRDefault="001D0C09" w:rsidP="00FA78DB">
            <w:pPr>
              <w:ind w:left="30"/>
            </w:pPr>
            <w:r>
              <w:t>€158 million peak revenue</w:t>
            </w:r>
          </w:p>
        </w:tc>
        <w:tc>
          <w:tcPr>
            <w:tcW w:w="5019" w:type="dxa"/>
            <w:vAlign w:val="center"/>
          </w:tcPr>
          <w:p w14:paraId="45C8872A" w14:textId="6D67670B" w:rsidR="001D0C09" w:rsidRDefault="00FA78DB" w:rsidP="00FA78DB">
            <w:pPr>
              <w:pStyle w:val="Prrafodelista"/>
              <w:numPr>
                <w:ilvl w:val="0"/>
                <w:numId w:val="18"/>
              </w:numPr>
              <w:ind w:left="315" w:hanging="283"/>
            </w:pPr>
            <w:r>
              <w:t>As reported in the Technopolis report, based on IQVIA data</w:t>
            </w:r>
            <w:r w:rsidR="001D0C09">
              <w:rPr>
                <w:rStyle w:val="Refdenotaalpie"/>
              </w:rPr>
              <w:footnoteReference w:id="46"/>
            </w:r>
          </w:p>
          <w:p w14:paraId="0F61B64E" w14:textId="56B99C4C" w:rsidR="00FA78DB" w:rsidRDefault="00FA78DB" w:rsidP="002E74E4">
            <w:pPr>
              <w:pStyle w:val="Prrafodelista"/>
              <w:numPr>
                <w:ilvl w:val="0"/>
                <w:numId w:val="18"/>
              </w:numPr>
              <w:ind w:left="315" w:hanging="283"/>
            </w:pPr>
            <w:r>
              <w:t>Evolution over time (e.g., time to peak sales</w:t>
            </w:r>
            <w:r w:rsidR="003304D3">
              <w:t>,</w:t>
            </w:r>
            <w:r>
              <w:t xml:space="preserve"> drop in revenue at loss of exclusivity) based</w:t>
            </w:r>
            <w:r w:rsidR="00253008">
              <w:t xml:space="preserve"> on</w:t>
            </w:r>
            <w:r>
              <w:t xml:space="preserve"> the revenue curve for archetypal RDP products reported by </w:t>
            </w:r>
            <w:proofErr w:type="gramStart"/>
            <w:r>
              <w:t>Technopolis</w:t>
            </w:r>
            <w:proofErr w:type="gramEnd"/>
          </w:p>
          <w:p w14:paraId="39EB7EE0" w14:textId="00C48CFF" w:rsidR="001D0C09" w:rsidRDefault="001D0C09" w:rsidP="002E74E4">
            <w:pPr>
              <w:pStyle w:val="Prrafodelista"/>
              <w:numPr>
                <w:ilvl w:val="0"/>
                <w:numId w:val="18"/>
              </w:numPr>
              <w:ind w:left="315" w:hanging="283"/>
            </w:pPr>
            <w:r>
              <w:t>Specific to RDP cohort</w:t>
            </w:r>
          </w:p>
        </w:tc>
      </w:tr>
      <w:tr w:rsidR="001D0C09" w14:paraId="14477EE6" w14:textId="77777777" w:rsidTr="001D0C09">
        <w:trPr>
          <w:trHeight w:val="340"/>
        </w:trPr>
        <w:tc>
          <w:tcPr>
            <w:tcW w:w="8931" w:type="dxa"/>
            <w:gridSpan w:val="3"/>
            <w:shd w:val="clear" w:color="auto" w:fill="F2F2F2" w:themeFill="background1" w:themeFillShade="F2"/>
            <w:vAlign w:val="center"/>
          </w:tcPr>
          <w:p w14:paraId="13E6B201" w14:textId="78CB9657" w:rsidR="001D0C09" w:rsidRPr="001D0C09" w:rsidRDefault="001D0C09" w:rsidP="001D0C09">
            <w:pPr>
              <w:rPr>
                <w:b/>
                <w:bCs/>
              </w:rPr>
            </w:pPr>
            <w:r w:rsidRPr="001D0C09">
              <w:rPr>
                <w:b/>
                <w:bCs/>
              </w:rPr>
              <w:t>Costs</w:t>
            </w:r>
          </w:p>
        </w:tc>
      </w:tr>
      <w:tr w:rsidR="001D0C09" w14:paraId="71C37B0F" w14:textId="77777777" w:rsidTr="001D0C09">
        <w:tc>
          <w:tcPr>
            <w:tcW w:w="1502" w:type="dxa"/>
            <w:vAlign w:val="center"/>
          </w:tcPr>
          <w:p w14:paraId="568A1444" w14:textId="01D4E0B4" w:rsidR="001D0C09" w:rsidRDefault="001D0C09" w:rsidP="007659CD">
            <w:r>
              <w:t>R&amp;D costs</w:t>
            </w:r>
          </w:p>
        </w:tc>
        <w:tc>
          <w:tcPr>
            <w:tcW w:w="2410" w:type="dxa"/>
            <w:vAlign w:val="center"/>
          </w:tcPr>
          <w:p w14:paraId="0A38555D" w14:textId="5E26A8F2" w:rsidR="001D0C09" w:rsidRDefault="001D0C09" w:rsidP="00FA78DB">
            <w:pPr>
              <w:ind w:left="30"/>
            </w:pPr>
            <w:r>
              <w:t>€150 million out-of-pocket costs globally, adjusted for inflation</w:t>
            </w:r>
          </w:p>
        </w:tc>
        <w:tc>
          <w:tcPr>
            <w:tcW w:w="5019" w:type="dxa"/>
            <w:vAlign w:val="center"/>
          </w:tcPr>
          <w:p w14:paraId="55258239" w14:textId="29AE03D3" w:rsidR="001D0C09" w:rsidRDefault="003304D3" w:rsidP="002E74E4">
            <w:pPr>
              <w:pStyle w:val="Prrafodelista"/>
              <w:numPr>
                <w:ilvl w:val="0"/>
                <w:numId w:val="18"/>
              </w:numPr>
              <w:ind w:left="315" w:hanging="283"/>
            </w:pPr>
            <w:r>
              <w:t>S</w:t>
            </w:r>
            <w:r w:rsidR="001D0C09">
              <w:t>ourced from</w:t>
            </w:r>
            <w:r w:rsidR="00253008">
              <w:t xml:space="preserve"> the</w:t>
            </w:r>
            <w:r w:rsidR="001D0C09">
              <w:t xml:space="preserve"> academic literature and based on recent estimates</w:t>
            </w:r>
            <w:r w:rsidR="001D0C09">
              <w:rPr>
                <w:rStyle w:val="Refdenotaalpie"/>
              </w:rPr>
              <w:footnoteReference w:id="47"/>
            </w:r>
            <w:r w:rsidR="001D0C09">
              <w:t xml:space="preserve">; they are not sponsored by </w:t>
            </w:r>
            <w:proofErr w:type="gramStart"/>
            <w:r w:rsidR="001D0C09">
              <w:t>industry</w:t>
            </w:r>
            <w:proofErr w:type="gramEnd"/>
          </w:p>
          <w:p w14:paraId="6C4DB0F1" w14:textId="13D584EE" w:rsidR="00670D39" w:rsidRDefault="003304D3" w:rsidP="002E74E4">
            <w:pPr>
              <w:pStyle w:val="Prrafodelista"/>
              <w:numPr>
                <w:ilvl w:val="0"/>
                <w:numId w:val="18"/>
              </w:numPr>
              <w:ind w:left="315" w:hanging="283"/>
            </w:pPr>
            <w:r>
              <w:t>A</w:t>
            </w:r>
            <w:r w:rsidR="00253008">
              <w:t xml:space="preserve">djusted for inflation and converted from US dollars to </w:t>
            </w:r>
            <w:proofErr w:type="gramStart"/>
            <w:r w:rsidR="00253008">
              <w:t>euros</w:t>
            </w:r>
            <w:proofErr w:type="gramEnd"/>
            <w:r w:rsidR="00253008">
              <w:t xml:space="preserve"> </w:t>
            </w:r>
          </w:p>
          <w:p w14:paraId="12F4DFCD" w14:textId="77777777" w:rsidR="001D0C09" w:rsidRDefault="001D0C09" w:rsidP="002E74E4">
            <w:pPr>
              <w:pStyle w:val="Prrafodelista"/>
              <w:numPr>
                <w:ilvl w:val="0"/>
                <w:numId w:val="18"/>
              </w:numPr>
              <w:ind w:left="315" w:hanging="283"/>
            </w:pPr>
            <w:r>
              <w:t>As R&amp;D costs are global, a proportion was assigned to Europe; in the absence of specific data, this proportion is aligned with the share of revenue generated in Europe based on data reported by EFPIA (32%)</w:t>
            </w:r>
            <w:r>
              <w:rPr>
                <w:rStyle w:val="Refdenotaalpie"/>
              </w:rPr>
              <w:footnoteReference w:id="48"/>
            </w:r>
          </w:p>
          <w:p w14:paraId="2E2F9067" w14:textId="015958AF" w:rsidR="001D0C09" w:rsidRDefault="001D0C09" w:rsidP="002E74E4">
            <w:pPr>
              <w:pStyle w:val="Prrafodelista"/>
              <w:numPr>
                <w:ilvl w:val="0"/>
                <w:numId w:val="18"/>
              </w:numPr>
              <w:ind w:left="315" w:hanging="283"/>
            </w:pPr>
            <w:r>
              <w:t>Assumption that average R&amp;D costs are applicable to the RDP cohort</w:t>
            </w:r>
          </w:p>
        </w:tc>
      </w:tr>
      <w:tr w:rsidR="00FA78DB" w14:paraId="3697B242" w14:textId="77777777" w:rsidTr="001D0C09">
        <w:tc>
          <w:tcPr>
            <w:tcW w:w="1502" w:type="dxa"/>
            <w:vAlign w:val="center"/>
          </w:tcPr>
          <w:p w14:paraId="082A7D5E" w14:textId="1FB77E6E" w:rsidR="00FA78DB" w:rsidRDefault="00FA78DB" w:rsidP="007659CD">
            <w:r>
              <w:t>Launch year costs</w:t>
            </w:r>
            <w:r w:rsidR="00670D39">
              <w:t xml:space="preserve"> (approval and HTA)</w:t>
            </w:r>
          </w:p>
        </w:tc>
        <w:tc>
          <w:tcPr>
            <w:tcW w:w="2410" w:type="dxa"/>
            <w:vAlign w:val="center"/>
          </w:tcPr>
          <w:p w14:paraId="6118449B" w14:textId="6777F33B" w:rsidR="00FA78DB" w:rsidRDefault="00670D39" w:rsidP="00FA78DB">
            <w:pPr>
              <w:ind w:left="30"/>
            </w:pPr>
            <w:r>
              <w:t>€12.8 million</w:t>
            </w:r>
          </w:p>
        </w:tc>
        <w:tc>
          <w:tcPr>
            <w:tcW w:w="5019" w:type="dxa"/>
            <w:vAlign w:val="center"/>
          </w:tcPr>
          <w:p w14:paraId="7B0CD6C1" w14:textId="4F8C02EF" w:rsidR="00FA78DB" w:rsidRDefault="00FA78DB" w:rsidP="002E74E4">
            <w:pPr>
              <w:pStyle w:val="Prrafodelista"/>
              <w:numPr>
                <w:ilvl w:val="0"/>
                <w:numId w:val="18"/>
              </w:numPr>
              <w:ind w:left="315" w:hanging="283"/>
            </w:pPr>
            <w:r>
              <w:t>Assumed to be half of the yearly Phase III costs</w:t>
            </w:r>
            <w:r w:rsidR="00253008">
              <w:t xml:space="preserve">, in the absence of available data, based on the knowledge that launch years tend to be most expensive </w:t>
            </w:r>
          </w:p>
        </w:tc>
      </w:tr>
      <w:tr w:rsidR="001D0C09" w14:paraId="3970B5E8" w14:textId="77777777" w:rsidTr="001D0C09">
        <w:tc>
          <w:tcPr>
            <w:tcW w:w="1502" w:type="dxa"/>
            <w:vAlign w:val="center"/>
          </w:tcPr>
          <w:p w14:paraId="19F2E9D6" w14:textId="17B2A2D1" w:rsidR="001D0C09" w:rsidRDefault="001D0C09" w:rsidP="007659CD">
            <w:r>
              <w:t>Other costs (COGS and SG&amp;A)</w:t>
            </w:r>
          </w:p>
        </w:tc>
        <w:tc>
          <w:tcPr>
            <w:tcW w:w="2410" w:type="dxa"/>
            <w:vAlign w:val="center"/>
          </w:tcPr>
          <w:p w14:paraId="1701681F" w14:textId="5FF5891D" w:rsidR="001D0C09" w:rsidRDefault="001D0C09" w:rsidP="00FA78DB">
            <w:pPr>
              <w:ind w:left="30"/>
            </w:pPr>
            <w:r>
              <w:t>29% of revenue on COGS</w:t>
            </w:r>
            <w:r w:rsidR="00FA78DB">
              <w:t xml:space="preserve">; </w:t>
            </w:r>
            <w:r>
              <w:t>24% of revenue on SG&amp;A</w:t>
            </w:r>
          </w:p>
        </w:tc>
        <w:tc>
          <w:tcPr>
            <w:tcW w:w="5019" w:type="dxa"/>
            <w:vAlign w:val="center"/>
          </w:tcPr>
          <w:p w14:paraId="151B29C0" w14:textId="6D454C78" w:rsidR="001D0C09" w:rsidRDefault="003304D3" w:rsidP="002E74E4">
            <w:pPr>
              <w:pStyle w:val="Prrafodelista"/>
              <w:numPr>
                <w:ilvl w:val="0"/>
                <w:numId w:val="18"/>
              </w:numPr>
              <w:ind w:left="315" w:hanging="283"/>
            </w:pPr>
            <w:r>
              <w:t>D</w:t>
            </w:r>
            <w:r w:rsidR="00FA78DB">
              <w:t>erived from a Dolon analysis of</w:t>
            </w:r>
            <w:r w:rsidR="001D0C09">
              <w:t xml:space="preserve"> figures reported by the top 20 largest pharmaceutical companies in their annual </w:t>
            </w:r>
            <w:proofErr w:type="gramStart"/>
            <w:r w:rsidR="001D0C09">
              <w:t>reports</w:t>
            </w:r>
            <w:proofErr w:type="gramEnd"/>
          </w:p>
          <w:p w14:paraId="33618354" w14:textId="16939301" w:rsidR="001D0C09" w:rsidRDefault="001D0C09" w:rsidP="002E74E4">
            <w:pPr>
              <w:pStyle w:val="Prrafodelista"/>
              <w:numPr>
                <w:ilvl w:val="0"/>
                <w:numId w:val="18"/>
              </w:numPr>
              <w:ind w:left="315" w:hanging="283"/>
            </w:pPr>
            <w:r>
              <w:t xml:space="preserve">Assumption that average COGS and SG&amp;A costs are applicable to the RDP </w:t>
            </w:r>
            <w:proofErr w:type="gramStart"/>
            <w:r>
              <w:t>cohort</w:t>
            </w:r>
            <w:proofErr w:type="gramEnd"/>
          </w:p>
          <w:p w14:paraId="2C043BA3" w14:textId="2137EB97" w:rsidR="001D0C09" w:rsidRDefault="001D0C09" w:rsidP="002E74E4">
            <w:pPr>
              <w:pStyle w:val="Prrafodelista"/>
              <w:numPr>
                <w:ilvl w:val="0"/>
                <w:numId w:val="18"/>
              </w:numPr>
              <w:ind w:left="315" w:hanging="283"/>
            </w:pPr>
            <w:r>
              <w:t>Note: COGS may differ by product type (e.g., may be much higher for specialised therapies like ATMPs and plasma-derived products)</w:t>
            </w:r>
          </w:p>
        </w:tc>
      </w:tr>
      <w:tr w:rsidR="001D0C09" w14:paraId="2C469034" w14:textId="77777777" w:rsidTr="001D0C09">
        <w:trPr>
          <w:cantSplit/>
          <w:trHeight w:val="340"/>
        </w:trPr>
        <w:tc>
          <w:tcPr>
            <w:tcW w:w="8931" w:type="dxa"/>
            <w:gridSpan w:val="3"/>
            <w:shd w:val="clear" w:color="auto" w:fill="F2F2F2" w:themeFill="background1" w:themeFillShade="F2"/>
            <w:vAlign w:val="center"/>
          </w:tcPr>
          <w:p w14:paraId="5857683B" w14:textId="5FF93B20" w:rsidR="001D0C09" w:rsidRPr="001D0C09" w:rsidRDefault="001D0C09" w:rsidP="001D0C09">
            <w:pPr>
              <w:rPr>
                <w:b/>
                <w:bCs/>
              </w:rPr>
            </w:pPr>
            <w:r w:rsidRPr="001D0C09">
              <w:rPr>
                <w:b/>
                <w:bCs/>
              </w:rPr>
              <w:t>Risk</w:t>
            </w:r>
          </w:p>
        </w:tc>
      </w:tr>
      <w:tr w:rsidR="001D0C09" w14:paraId="0B1E4228" w14:textId="77777777" w:rsidTr="001D0C09">
        <w:trPr>
          <w:cantSplit/>
          <w:trHeight w:val="1134"/>
        </w:trPr>
        <w:tc>
          <w:tcPr>
            <w:tcW w:w="1502" w:type="dxa"/>
            <w:vAlign w:val="center"/>
          </w:tcPr>
          <w:p w14:paraId="63A10015" w14:textId="412C057B" w:rsidR="001D0C09" w:rsidRDefault="001D0C09" w:rsidP="007659CD">
            <w:r>
              <w:t>Probability of success</w:t>
            </w:r>
          </w:p>
        </w:tc>
        <w:tc>
          <w:tcPr>
            <w:tcW w:w="2410" w:type="dxa"/>
            <w:vAlign w:val="center"/>
          </w:tcPr>
          <w:p w14:paraId="698E34B0" w14:textId="4B7CC8D5" w:rsidR="003304D3" w:rsidRDefault="001D0C09" w:rsidP="00FA78DB">
            <w:pPr>
              <w:ind w:left="30"/>
            </w:pPr>
            <w:r>
              <w:t>Ph I</w:t>
            </w:r>
            <w:r w:rsidR="00E4614A">
              <w:t xml:space="preserve">: </w:t>
            </w:r>
            <w:r w:rsidR="003304D3">
              <w:t>66%</w:t>
            </w:r>
          </w:p>
          <w:p w14:paraId="5F91381E" w14:textId="0D316A39" w:rsidR="003304D3" w:rsidRDefault="003304D3" w:rsidP="00FA78DB">
            <w:pPr>
              <w:ind w:left="30"/>
            </w:pPr>
            <w:r>
              <w:t>Ph II: 58%</w:t>
            </w:r>
          </w:p>
          <w:p w14:paraId="328D1978" w14:textId="56B39595" w:rsidR="001D0C09" w:rsidRDefault="003304D3" w:rsidP="00FA78DB">
            <w:pPr>
              <w:ind w:left="30"/>
            </w:pPr>
            <w:r>
              <w:t>Ph III: 59%</w:t>
            </w:r>
            <w:r w:rsidR="001D0C09">
              <w:t xml:space="preserve"> </w:t>
            </w:r>
          </w:p>
        </w:tc>
        <w:tc>
          <w:tcPr>
            <w:tcW w:w="5019" w:type="dxa"/>
            <w:vAlign w:val="center"/>
          </w:tcPr>
          <w:p w14:paraId="136C5C66" w14:textId="65CA02C4" w:rsidR="001D0C09" w:rsidRDefault="001D0C09" w:rsidP="002E74E4">
            <w:pPr>
              <w:pStyle w:val="Prrafodelista"/>
              <w:numPr>
                <w:ilvl w:val="0"/>
                <w:numId w:val="18"/>
              </w:numPr>
              <w:ind w:left="315" w:hanging="283"/>
            </w:pPr>
            <w:r>
              <w:t xml:space="preserve">Referred to the academic literature to </w:t>
            </w:r>
            <w:r w:rsidR="00E4614A">
              <w:t xml:space="preserve">estimate </w:t>
            </w:r>
            <w:r>
              <w:t>the probability of success at each phase</w:t>
            </w:r>
            <w:r>
              <w:rPr>
                <w:rStyle w:val="Refdenotaalpie"/>
              </w:rPr>
              <w:footnoteReference w:id="49"/>
            </w:r>
          </w:p>
          <w:p w14:paraId="6A16E363" w14:textId="11D916DC" w:rsidR="001D0C09" w:rsidRDefault="001D0C09" w:rsidP="002E74E4">
            <w:pPr>
              <w:pStyle w:val="Prrafodelista"/>
              <w:numPr>
                <w:ilvl w:val="0"/>
                <w:numId w:val="18"/>
              </w:numPr>
              <w:ind w:left="315" w:hanging="283"/>
            </w:pPr>
            <w:r>
              <w:t>Assumption that the probability of success for the average RDP product is the same as industry averages</w:t>
            </w:r>
          </w:p>
        </w:tc>
      </w:tr>
      <w:tr w:rsidR="001D0C09" w14:paraId="1D683A30" w14:textId="77777777" w:rsidTr="001D0C09">
        <w:trPr>
          <w:trHeight w:val="340"/>
        </w:trPr>
        <w:tc>
          <w:tcPr>
            <w:tcW w:w="8931" w:type="dxa"/>
            <w:gridSpan w:val="3"/>
            <w:shd w:val="clear" w:color="auto" w:fill="F2F2F2" w:themeFill="background1" w:themeFillShade="F2"/>
            <w:vAlign w:val="center"/>
          </w:tcPr>
          <w:p w14:paraId="31762B4F" w14:textId="34367F0F" w:rsidR="001D0C09" w:rsidRPr="001D0C09" w:rsidRDefault="001D0C09" w:rsidP="001D0C09">
            <w:pPr>
              <w:rPr>
                <w:b/>
                <w:bCs/>
              </w:rPr>
            </w:pPr>
            <w:r w:rsidRPr="001D0C09">
              <w:rPr>
                <w:b/>
                <w:bCs/>
              </w:rPr>
              <w:lastRenderedPageBreak/>
              <w:t>Time</w:t>
            </w:r>
          </w:p>
        </w:tc>
      </w:tr>
      <w:tr w:rsidR="001D0C09" w14:paraId="34968E91" w14:textId="77777777" w:rsidTr="001D0C09">
        <w:tc>
          <w:tcPr>
            <w:tcW w:w="1502" w:type="dxa"/>
            <w:vAlign w:val="center"/>
          </w:tcPr>
          <w:p w14:paraId="073E14B6" w14:textId="01310B69" w:rsidR="001D0C09" w:rsidRDefault="001D0C09" w:rsidP="007659CD">
            <w:r>
              <w:t>R&amp;D duration and time to access</w:t>
            </w:r>
          </w:p>
        </w:tc>
        <w:tc>
          <w:tcPr>
            <w:tcW w:w="2410" w:type="dxa"/>
            <w:vAlign w:val="center"/>
          </w:tcPr>
          <w:p w14:paraId="6F12CA4C" w14:textId="427E5AA8" w:rsidR="003304D3" w:rsidRDefault="001D0C09" w:rsidP="00FA78DB">
            <w:pPr>
              <w:ind w:left="30"/>
            </w:pPr>
            <w:r>
              <w:t>Ph I</w:t>
            </w:r>
            <w:r w:rsidR="00253008">
              <w:t>-</w:t>
            </w:r>
            <w:r>
              <w:t>III: 8 years</w:t>
            </w:r>
          </w:p>
          <w:p w14:paraId="3DE2F783" w14:textId="0468BD98" w:rsidR="003304D3" w:rsidRDefault="001D0C09" w:rsidP="00FA78DB">
            <w:pPr>
              <w:ind w:left="30"/>
            </w:pPr>
            <w:r>
              <w:t xml:space="preserve">EMA </w:t>
            </w:r>
            <w:r w:rsidR="00E4614A">
              <w:t>approval</w:t>
            </w:r>
            <w:r>
              <w:t xml:space="preserve"> 426 days</w:t>
            </w:r>
          </w:p>
          <w:p w14:paraId="73AD47A1" w14:textId="093F6614" w:rsidR="001D0C09" w:rsidRDefault="003304D3" w:rsidP="00FA78DB">
            <w:pPr>
              <w:ind w:left="30"/>
            </w:pPr>
            <w:r>
              <w:t>A</w:t>
            </w:r>
            <w:r w:rsidR="00E4614A">
              <w:t>pproval</w:t>
            </w:r>
            <w:r w:rsidR="001D0C09">
              <w:t xml:space="preserve"> to patient access: 511 days</w:t>
            </w:r>
          </w:p>
        </w:tc>
        <w:tc>
          <w:tcPr>
            <w:tcW w:w="5019" w:type="dxa"/>
            <w:vAlign w:val="center"/>
          </w:tcPr>
          <w:p w14:paraId="2F334EEF" w14:textId="061F3A9A" w:rsidR="001D0C09" w:rsidRDefault="001D0C09" w:rsidP="008B0083">
            <w:pPr>
              <w:pStyle w:val="Prrafodelista"/>
              <w:numPr>
                <w:ilvl w:val="0"/>
                <w:numId w:val="18"/>
              </w:numPr>
              <w:ind w:left="315" w:hanging="283"/>
            </w:pPr>
            <w:r>
              <w:t>Referred to the academic literature to estimate the time to</w:t>
            </w:r>
            <w:r w:rsidR="00E4614A">
              <w:t xml:space="preserve"> approval</w:t>
            </w:r>
            <w:r>
              <w:rPr>
                <w:rStyle w:val="Refdenotaalpie"/>
              </w:rPr>
              <w:footnoteReference w:id="50"/>
            </w:r>
            <w:r>
              <w:t xml:space="preserve">, and used data from the EFPIA W.A.I.T. indicator to determine time from </w:t>
            </w:r>
            <w:r w:rsidR="00E4614A">
              <w:t>approval</w:t>
            </w:r>
            <w:r>
              <w:t xml:space="preserve"> to access</w:t>
            </w:r>
            <w:r>
              <w:rPr>
                <w:rStyle w:val="Refdenotaalpie"/>
              </w:rPr>
              <w:footnoteReference w:id="51"/>
            </w:r>
          </w:p>
          <w:p w14:paraId="59A1F08F" w14:textId="049B8D95" w:rsidR="001D0C09" w:rsidRDefault="001D0C09" w:rsidP="008B0083">
            <w:pPr>
              <w:pStyle w:val="Prrafodelista"/>
              <w:numPr>
                <w:ilvl w:val="0"/>
                <w:numId w:val="18"/>
              </w:numPr>
              <w:ind w:left="315" w:hanging="283"/>
            </w:pPr>
            <w:r>
              <w:t>Assumption that time to access remains the same for RDP products as other products*</w:t>
            </w:r>
          </w:p>
        </w:tc>
      </w:tr>
      <w:tr w:rsidR="001D0C09" w14:paraId="3B5CA692" w14:textId="77777777" w:rsidTr="001D0C09">
        <w:tc>
          <w:tcPr>
            <w:tcW w:w="1502" w:type="dxa"/>
            <w:vAlign w:val="center"/>
          </w:tcPr>
          <w:p w14:paraId="7BBC7B3C" w14:textId="3CE91AF9" w:rsidR="001D0C09" w:rsidRDefault="001D0C09" w:rsidP="007659CD">
            <w:r>
              <w:t>IP protection</w:t>
            </w:r>
          </w:p>
        </w:tc>
        <w:tc>
          <w:tcPr>
            <w:tcW w:w="2410" w:type="dxa"/>
            <w:vAlign w:val="center"/>
          </w:tcPr>
          <w:p w14:paraId="08D0A031" w14:textId="6BC27ADF" w:rsidR="001D0C09" w:rsidRDefault="001D0C09" w:rsidP="00FA78DB">
            <w:pPr>
              <w:ind w:left="57"/>
            </w:pPr>
            <w:r>
              <w:t>10.1 years</w:t>
            </w:r>
          </w:p>
        </w:tc>
        <w:tc>
          <w:tcPr>
            <w:tcW w:w="5019" w:type="dxa"/>
            <w:vAlign w:val="center"/>
          </w:tcPr>
          <w:p w14:paraId="469E20C9" w14:textId="67034F4C" w:rsidR="001D0C09" w:rsidRDefault="001D0C09" w:rsidP="008B0083">
            <w:pPr>
              <w:pStyle w:val="Prrafodelista"/>
              <w:numPr>
                <w:ilvl w:val="0"/>
                <w:numId w:val="18"/>
              </w:numPr>
              <w:ind w:left="315" w:hanging="283"/>
            </w:pPr>
            <w:r>
              <w:t>Corresponds to eight years of data exclusivity, two years of market protection, and an additional year for products with a new therapeutic indication that offers enhanced clinical benefits over existing options</w:t>
            </w:r>
          </w:p>
        </w:tc>
      </w:tr>
      <w:tr w:rsidR="001D0C09" w14:paraId="54FBBC80" w14:textId="77777777" w:rsidTr="001D0C09">
        <w:tc>
          <w:tcPr>
            <w:tcW w:w="1502" w:type="dxa"/>
            <w:vAlign w:val="center"/>
          </w:tcPr>
          <w:p w14:paraId="7ADCAF99" w14:textId="3AF42F26" w:rsidR="001D0C09" w:rsidRDefault="001D0C09" w:rsidP="007659CD">
            <w:r>
              <w:t>Discounting</w:t>
            </w:r>
          </w:p>
        </w:tc>
        <w:tc>
          <w:tcPr>
            <w:tcW w:w="2410" w:type="dxa"/>
            <w:vAlign w:val="center"/>
          </w:tcPr>
          <w:p w14:paraId="7F496D00" w14:textId="3814A4F1" w:rsidR="001D0C09" w:rsidRDefault="001D0C09" w:rsidP="00FA78DB">
            <w:pPr>
              <w:ind w:left="57"/>
            </w:pPr>
            <w:r>
              <w:t>10.5%</w:t>
            </w:r>
          </w:p>
        </w:tc>
        <w:tc>
          <w:tcPr>
            <w:tcW w:w="5019" w:type="dxa"/>
            <w:vAlign w:val="center"/>
          </w:tcPr>
          <w:p w14:paraId="3EE792E9" w14:textId="7D63D79E" w:rsidR="001D0C09" w:rsidRDefault="001D0C09" w:rsidP="008B0083">
            <w:pPr>
              <w:pStyle w:val="Prrafodelista"/>
              <w:numPr>
                <w:ilvl w:val="0"/>
                <w:numId w:val="18"/>
              </w:numPr>
              <w:ind w:left="315" w:hanging="283"/>
            </w:pPr>
            <w:r>
              <w:t>Consistent with previous Dolon publications and published literature</w:t>
            </w:r>
            <w:r>
              <w:rPr>
                <w:rStyle w:val="Refdenotaalpie"/>
              </w:rPr>
              <w:footnoteReference w:id="52"/>
            </w:r>
            <w:r>
              <w:rPr>
                <w:vertAlign w:val="superscript"/>
              </w:rPr>
              <w:t>,</w:t>
            </w:r>
            <w:r>
              <w:rPr>
                <w:rStyle w:val="Refdenotaalpie"/>
              </w:rPr>
              <w:footnoteReference w:id="53"/>
            </w:r>
          </w:p>
        </w:tc>
      </w:tr>
    </w:tbl>
    <w:p w14:paraId="0803BA5C" w14:textId="77777777" w:rsidR="003E22E0" w:rsidRDefault="003E22E0" w:rsidP="00C93DCD"/>
    <w:p w14:paraId="023DF42F" w14:textId="62BAD0C8" w:rsidR="002F59C9" w:rsidRPr="000065BC" w:rsidRDefault="001D0C09" w:rsidP="00C93DCD">
      <w:pPr>
        <w:rPr>
          <w:i/>
          <w:iCs/>
        </w:rPr>
      </w:pPr>
      <w:r>
        <w:rPr>
          <w:i/>
          <w:iCs/>
        </w:rPr>
        <w:t xml:space="preserve">Appendix </w:t>
      </w:r>
      <w:r w:rsidR="000065BC">
        <w:rPr>
          <w:i/>
          <w:iCs/>
        </w:rPr>
        <w:t>II</w:t>
      </w:r>
      <w:r>
        <w:rPr>
          <w:i/>
          <w:iCs/>
        </w:rPr>
        <w:t xml:space="preserve">. Innovation model: </w:t>
      </w:r>
      <w:r w:rsidRPr="001D0C09">
        <w:rPr>
          <w:i/>
          <w:iCs/>
        </w:rPr>
        <w:t xml:space="preserve">Changes in inputs between base case, </w:t>
      </w:r>
      <w:r>
        <w:rPr>
          <w:i/>
          <w:iCs/>
        </w:rPr>
        <w:t>Commission’s proposals and EFPIA’s counterproposals</w:t>
      </w:r>
    </w:p>
    <w:tbl>
      <w:tblPr>
        <w:tblStyle w:val="Tablaconcuadrcula"/>
        <w:tblW w:w="0" w:type="auto"/>
        <w:tblLayout w:type="fixed"/>
        <w:tblLook w:val="04A0" w:firstRow="1" w:lastRow="0" w:firstColumn="1" w:lastColumn="0" w:noHBand="0" w:noVBand="1"/>
      </w:tblPr>
      <w:tblGrid>
        <w:gridCol w:w="1271"/>
        <w:gridCol w:w="1606"/>
        <w:gridCol w:w="1607"/>
        <w:gridCol w:w="1607"/>
        <w:gridCol w:w="2925"/>
      </w:tblGrid>
      <w:tr w:rsidR="00490BAB" w14:paraId="714FCB0B" w14:textId="77777777" w:rsidTr="00EE7D8F">
        <w:tc>
          <w:tcPr>
            <w:tcW w:w="1271" w:type="dxa"/>
            <w:shd w:val="clear" w:color="auto" w:fill="D9D9D9" w:themeFill="background1" w:themeFillShade="D9"/>
            <w:vAlign w:val="center"/>
          </w:tcPr>
          <w:p w14:paraId="0E423D8E" w14:textId="495F5360" w:rsidR="002F59C9" w:rsidRPr="000065BC" w:rsidRDefault="002F59C9" w:rsidP="00EE7D8F">
            <w:pPr>
              <w:tabs>
                <w:tab w:val="left" w:pos="1092"/>
              </w:tabs>
              <w:rPr>
                <w:b/>
                <w:bCs/>
              </w:rPr>
            </w:pPr>
            <w:r w:rsidRPr="000065BC">
              <w:rPr>
                <w:b/>
                <w:bCs/>
              </w:rPr>
              <w:t>Input</w:t>
            </w:r>
            <w:r w:rsidRPr="000065BC">
              <w:rPr>
                <w:b/>
                <w:bCs/>
              </w:rPr>
              <w:tab/>
            </w:r>
          </w:p>
        </w:tc>
        <w:tc>
          <w:tcPr>
            <w:tcW w:w="1606" w:type="dxa"/>
            <w:shd w:val="clear" w:color="auto" w:fill="D9D9D9" w:themeFill="background1" w:themeFillShade="D9"/>
            <w:vAlign w:val="center"/>
          </w:tcPr>
          <w:p w14:paraId="1E4034C6" w14:textId="0B32BE0C" w:rsidR="002F59C9" w:rsidRPr="000065BC" w:rsidRDefault="002F59C9" w:rsidP="00EE7D8F">
            <w:pPr>
              <w:rPr>
                <w:b/>
                <w:bCs/>
              </w:rPr>
            </w:pPr>
            <w:r w:rsidRPr="000065BC">
              <w:rPr>
                <w:b/>
                <w:bCs/>
              </w:rPr>
              <w:t>Base case</w:t>
            </w:r>
          </w:p>
        </w:tc>
        <w:tc>
          <w:tcPr>
            <w:tcW w:w="1607" w:type="dxa"/>
            <w:shd w:val="clear" w:color="auto" w:fill="D9D9D9" w:themeFill="background1" w:themeFillShade="D9"/>
            <w:vAlign w:val="center"/>
          </w:tcPr>
          <w:p w14:paraId="20354EA6" w14:textId="466A0FE4" w:rsidR="002F59C9" w:rsidRPr="000065BC" w:rsidRDefault="002F59C9" w:rsidP="00EE7D8F">
            <w:pPr>
              <w:rPr>
                <w:b/>
                <w:bCs/>
              </w:rPr>
            </w:pPr>
            <w:proofErr w:type="gramStart"/>
            <w:r w:rsidRPr="000065BC">
              <w:rPr>
                <w:b/>
                <w:bCs/>
              </w:rPr>
              <w:t>Commission</w:t>
            </w:r>
            <w:r w:rsidR="00490BAB">
              <w:rPr>
                <w:b/>
                <w:bCs/>
              </w:rPr>
              <w:t xml:space="preserve"> </w:t>
            </w:r>
            <w:r w:rsidRPr="000065BC">
              <w:rPr>
                <w:b/>
                <w:bCs/>
              </w:rPr>
              <w:t xml:space="preserve"> proposal</w:t>
            </w:r>
            <w:proofErr w:type="gramEnd"/>
          </w:p>
        </w:tc>
        <w:tc>
          <w:tcPr>
            <w:tcW w:w="1607" w:type="dxa"/>
            <w:shd w:val="clear" w:color="auto" w:fill="D9D9D9" w:themeFill="background1" w:themeFillShade="D9"/>
            <w:vAlign w:val="center"/>
          </w:tcPr>
          <w:p w14:paraId="3816EB0E" w14:textId="3CFDAEDD" w:rsidR="002F59C9" w:rsidRPr="000065BC" w:rsidRDefault="002F59C9" w:rsidP="00EE7D8F">
            <w:pPr>
              <w:rPr>
                <w:b/>
                <w:bCs/>
              </w:rPr>
            </w:pPr>
            <w:r w:rsidRPr="000065BC">
              <w:rPr>
                <w:b/>
                <w:bCs/>
              </w:rPr>
              <w:t>EFPIA proposal</w:t>
            </w:r>
          </w:p>
        </w:tc>
        <w:tc>
          <w:tcPr>
            <w:tcW w:w="2925" w:type="dxa"/>
            <w:shd w:val="clear" w:color="auto" w:fill="D9D9D9" w:themeFill="background1" w:themeFillShade="D9"/>
            <w:vAlign w:val="center"/>
          </w:tcPr>
          <w:p w14:paraId="62444D21" w14:textId="0297BF44" w:rsidR="002F59C9" w:rsidRPr="000065BC" w:rsidRDefault="002F59C9" w:rsidP="00EE7D8F">
            <w:pPr>
              <w:rPr>
                <w:b/>
                <w:bCs/>
              </w:rPr>
            </w:pPr>
            <w:r w:rsidRPr="000065BC">
              <w:rPr>
                <w:b/>
                <w:bCs/>
              </w:rPr>
              <w:t>Rationale</w:t>
            </w:r>
          </w:p>
        </w:tc>
      </w:tr>
      <w:tr w:rsidR="00EE7D8F" w14:paraId="27EBC0DD" w14:textId="77777777" w:rsidTr="00EE7D8F">
        <w:tc>
          <w:tcPr>
            <w:tcW w:w="1271" w:type="dxa"/>
            <w:vAlign w:val="center"/>
          </w:tcPr>
          <w:p w14:paraId="055769A7" w14:textId="0102A0E1" w:rsidR="00EE7D8F" w:rsidRDefault="00EE7D8F" w:rsidP="00EE7D8F">
            <w:pPr>
              <w:tabs>
                <w:tab w:val="left" w:pos="1092"/>
              </w:tabs>
            </w:pPr>
            <w:r>
              <w:t>Launch year costs (approval and HTA)</w:t>
            </w:r>
          </w:p>
        </w:tc>
        <w:tc>
          <w:tcPr>
            <w:tcW w:w="1606" w:type="dxa"/>
            <w:vAlign w:val="center"/>
          </w:tcPr>
          <w:p w14:paraId="057CE777" w14:textId="79A4B2EB" w:rsidR="00EE7D8F" w:rsidRDefault="00EE7D8F" w:rsidP="00EE7D8F">
            <w:pPr>
              <w:jc w:val="both"/>
            </w:pPr>
            <w:r>
              <w:t>€12.8 million</w:t>
            </w:r>
          </w:p>
        </w:tc>
        <w:tc>
          <w:tcPr>
            <w:tcW w:w="1607" w:type="dxa"/>
            <w:vAlign w:val="center"/>
          </w:tcPr>
          <w:p w14:paraId="23C871C3" w14:textId="50589DA3" w:rsidR="00EE7D8F" w:rsidRDefault="00EE7D8F" w:rsidP="00EE7D8F">
            <w:pPr>
              <w:ind w:left="30"/>
              <w:jc w:val="both"/>
            </w:pPr>
            <w:r>
              <w:t>€19.2 million</w:t>
            </w:r>
          </w:p>
        </w:tc>
        <w:tc>
          <w:tcPr>
            <w:tcW w:w="1607" w:type="dxa"/>
            <w:vAlign w:val="center"/>
          </w:tcPr>
          <w:p w14:paraId="5BC0FBC9" w14:textId="65D096B4" w:rsidR="00EE7D8F" w:rsidRDefault="00EE7D8F" w:rsidP="00EE7D8F">
            <w:pPr>
              <w:ind w:left="30"/>
              <w:jc w:val="both"/>
            </w:pPr>
            <w:r>
              <w:t>€19.2 million</w:t>
            </w:r>
          </w:p>
        </w:tc>
        <w:tc>
          <w:tcPr>
            <w:tcW w:w="2925" w:type="dxa"/>
            <w:vAlign w:val="center"/>
          </w:tcPr>
          <w:p w14:paraId="158845D5" w14:textId="181E6835" w:rsidR="00EE7D8F" w:rsidRDefault="00EE7D8F" w:rsidP="00EE7D8F">
            <w:pPr>
              <w:pStyle w:val="Prrafodelista"/>
              <w:numPr>
                <w:ilvl w:val="0"/>
                <w:numId w:val="20"/>
              </w:numPr>
              <w:ind w:left="317" w:hanging="284"/>
            </w:pPr>
            <w:r>
              <w:t>50% increase in costs in approval year to reflect EFPIA’s commitment to file</w:t>
            </w:r>
          </w:p>
        </w:tc>
      </w:tr>
      <w:tr w:rsidR="00EE7D8F" w14:paraId="2F6AD986" w14:textId="77777777" w:rsidTr="00EE7D8F">
        <w:tc>
          <w:tcPr>
            <w:tcW w:w="1271" w:type="dxa"/>
            <w:vAlign w:val="center"/>
          </w:tcPr>
          <w:p w14:paraId="58D306B8" w14:textId="7F773CC0" w:rsidR="00EE7D8F" w:rsidRDefault="00EE7D8F" w:rsidP="00EE7D8F">
            <w:pPr>
              <w:tabs>
                <w:tab w:val="left" w:pos="1092"/>
              </w:tabs>
            </w:pPr>
            <w:r>
              <w:t>Probability of success (Ph III to approval)</w:t>
            </w:r>
          </w:p>
        </w:tc>
        <w:tc>
          <w:tcPr>
            <w:tcW w:w="1606" w:type="dxa"/>
            <w:vAlign w:val="center"/>
          </w:tcPr>
          <w:p w14:paraId="32B5B06A" w14:textId="69B4708D" w:rsidR="00EE7D8F" w:rsidRDefault="00EE7D8F" w:rsidP="00EE7D8F">
            <w:r>
              <w:t>79.5%</w:t>
            </w:r>
          </w:p>
        </w:tc>
        <w:tc>
          <w:tcPr>
            <w:tcW w:w="1607" w:type="dxa"/>
            <w:vAlign w:val="center"/>
          </w:tcPr>
          <w:p w14:paraId="7F3D97BD" w14:textId="01DE0157" w:rsidR="00EE7D8F" w:rsidRDefault="00EE7D8F" w:rsidP="00EE7D8F">
            <w:r>
              <w:t>87.45%</w:t>
            </w:r>
          </w:p>
        </w:tc>
        <w:tc>
          <w:tcPr>
            <w:tcW w:w="1607" w:type="dxa"/>
            <w:vAlign w:val="center"/>
          </w:tcPr>
          <w:p w14:paraId="78F32791" w14:textId="32773D20" w:rsidR="00EE7D8F" w:rsidRDefault="00EE7D8F" w:rsidP="00EE7D8F">
            <w:r>
              <w:t>87.45%</w:t>
            </w:r>
          </w:p>
        </w:tc>
        <w:tc>
          <w:tcPr>
            <w:tcW w:w="2925" w:type="dxa"/>
            <w:vAlign w:val="center"/>
          </w:tcPr>
          <w:p w14:paraId="2341D3E6" w14:textId="6D2A151B" w:rsidR="00EE7D8F" w:rsidRDefault="00EE7D8F" w:rsidP="00EE7D8F">
            <w:pPr>
              <w:pStyle w:val="Prrafodelista"/>
              <w:numPr>
                <w:ilvl w:val="0"/>
                <w:numId w:val="20"/>
              </w:numPr>
              <w:ind w:left="317" w:hanging="284"/>
            </w:pPr>
            <w:r>
              <w:t>To reflect the Commission’s proposal to shorten standard timelines and bolster PRIME, we include a 10% increase in probability of approval</w:t>
            </w:r>
          </w:p>
        </w:tc>
      </w:tr>
      <w:tr w:rsidR="00EE7D8F" w14:paraId="5DF90D4B" w14:textId="77777777" w:rsidTr="00EE7D8F">
        <w:tc>
          <w:tcPr>
            <w:tcW w:w="1271" w:type="dxa"/>
            <w:vAlign w:val="center"/>
          </w:tcPr>
          <w:p w14:paraId="2A2DFA6B" w14:textId="467CF32D" w:rsidR="00EE7D8F" w:rsidRDefault="00EE7D8F" w:rsidP="00EE7D8F">
            <w:pPr>
              <w:tabs>
                <w:tab w:val="left" w:pos="1092"/>
              </w:tabs>
            </w:pPr>
            <w:r>
              <w:t>IP protection</w:t>
            </w:r>
          </w:p>
        </w:tc>
        <w:tc>
          <w:tcPr>
            <w:tcW w:w="1606" w:type="dxa"/>
            <w:vAlign w:val="center"/>
          </w:tcPr>
          <w:p w14:paraId="40ECB622" w14:textId="757444FA" w:rsidR="00EE7D8F" w:rsidRDefault="00EE7D8F" w:rsidP="00EE7D8F">
            <w:r>
              <w:t>10.1 years</w:t>
            </w:r>
          </w:p>
        </w:tc>
        <w:tc>
          <w:tcPr>
            <w:tcW w:w="1607" w:type="dxa"/>
            <w:vAlign w:val="center"/>
          </w:tcPr>
          <w:p w14:paraId="54141955" w14:textId="719651BA" w:rsidR="00EE7D8F" w:rsidRDefault="00EE7D8F" w:rsidP="00EE7D8F">
            <w:r>
              <w:t>8.5 years</w:t>
            </w:r>
          </w:p>
        </w:tc>
        <w:tc>
          <w:tcPr>
            <w:tcW w:w="1607" w:type="dxa"/>
            <w:vAlign w:val="center"/>
          </w:tcPr>
          <w:p w14:paraId="221CA9B2" w14:textId="26141222" w:rsidR="00EE7D8F" w:rsidRDefault="00EE7D8F" w:rsidP="00EE7D8F">
            <w:r>
              <w:t>13.1 years</w:t>
            </w:r>
          </w:p>
        </w:tc>
        <w:tc>
          <w:tcPr>
            <w:tcW w:w="2925" w:type="dxa"/>
            <w:vAlign w:val="center"/>
          </w:tcPr>
          <w:p w14:paraId="32B8FA97" w14:textId="603BCCBA" w:rsidR="00EE7D8F" w:rsidRDefault="00EE7D8F" w:rsidP="00EE7D8F">
            <w:pPr>
              <w:pStyle w:val="Prrafodelista"/>
              <w:numPr>
                <w:ilvl w:val="0"/>
                <w:numId w:val="20"/>
              </w:numPr>
              <w:ind w:left="317" w:hanging="284"/>
            </w:pPr>
            <w:r>
              <w:t xml:space="preserve">Commission proposal assumes a 6-year RDP baseline, 20% of products meet the UMN definition (+6mo), 50% of products have comparative trials (+6mo), 0% of products launch and supply in all States, a +2y market protection and +1y RDP for new </w:t>
            </w:r>
            <w:proofErr w:type="gramStart"/>
            <w:r>
              <w:t>indications</w:t>
            </w:r>
            <w:proofErr w:type="gramEnd"/>
          </w:p>
          <w:p w14:paraId="40A6E702" w14:textId="7129F600" w:rsidR="00EE7D8F" w:rsidRDefault="00EE7D8F" w:rsidP="00EE7D8F">
            <w:pPr>
              <w:pStyle w:val="Prrafodelista"/>
              <w:numPr>
                <w:ilvl w:val="0"/>
                <w:numId w:val="20"/>
              </w:numPr>
              <w:ind w:left="317" w:hanging="284"/>
            </w:pPr>
            <w:r>
              <w:t xml:space="preserve">EFPIA proposal assumes a 10-year RDP baseline, 50% of </w:t>
            </w:r>
            <w:r>
              <w:lastRenderedPageBreak/>
              <w:t>products meet a broader UMN definition (+1y), 50% of products have comparative trials (+1y), there is no launch conditionality, +2y market protection and +1y RDP for new indications</w:t>
            </w:r>
          </w:p>
        </w:tc>
      </w:tr>
    </w:tbl>
    <w:p w14:paraId="411BD354" w14:textId="75E58C22" w:rsidR="00893886" w:rsidRDefault="00893886" w:rsidP="00C93DCD"/>
    <w:p w14:paraId="7E939D7D" w14:textId="2F434C23" w:rsidR="000065BC" w:rsidRDefault="000065BC" w:rsidP="00C93DCD">
      <w:pPr>
        <w:rPr>
          <w:i/>
          <w:iCs/>
        </w:rPr>
      </w:pPr>
      <w:r>
        <w:rPr>
          <w:i/>
          <w:iCs/>
        </w:rPr>
        <w:t xml:space="preserve">Appendix III. Innovation model: </w:t>
      </w:r>
      <w:r w:rsidR="00490BAB">
        <w:rPr>
          <w:i/>
          <w:iCs/>
        </w:rPr>
        <w:t>changes in inputs for the case of SMEs</w:t>
      </w:r>
      <w:r w:rsidR="00B101B9">
        <w:rPr>
          <w:i/>
          <w:iCs/>
        </w:rPr>
        <w:t xml:space="preserve"> and analysis of environmental regulations</w:t>
      </w:r>
    </w:p>
    <w:tbl>
      <w:tblPr>
        <w:tblStyle w:val="Tablaconcuadrcula"/>
        <w:tblW w:w="9025" w:type="dxa"/>
        <w:tblLook w:val="04A0" w:firstRow="1" w:lastRow="0" w:firstColumn="1" w:lastColumn="0" w:noHBand="0" w:noVBand="1"/>
      </w:tblPr>
      <w:tblGrid>
        <w:gridCol w:w="1270"/>
        <w:gridCol w:w="1610"/>
        <w:gridCol w:w="1610"/>
        <w:gridCol w:w="1610"/>
        <w:gridCol w:w="2925"/>
      </w:tblGrid>
      <w:tr w:rsidR="00490BAB" w14:paraId="0A1A0BE3" w14:textId="77777777" w:rsidTr="00EE7D8F">
        <w:tc>
          <w:tcPr>
            <w:tcW w:w="1270" w:type="dxa"/>
            <w:shd w:val="clear" w:color="auto" w:fill="D9D9D9" w:themeFill="background1" w:themeFillShade="D9"/>
            <w:vAlign w:val="center"/>
          </w:tcPr>
          <w:p w14:paraId="24AE9B8D" w14:textId="2A598925" w:rsidR="00490BAB" w:rsidRPr="00490BAB" w:rsidRDefault="00490BAB" w:rsidP="00EE7D8F">
            <w:pPr>
              <w:rPr>
                <w:b/>
                <w:bCs/>
              </w:rPr>
            </w:pPr>
            <w:r w:rsidRPr="00490BAB">
              <w:rPr>
                <w:b/>
                <w:bCs/>
              </w:rPr>
              <w:t>Input</w:t>
            </w:r>
          </w:p>
        </w:tc>
        <w:tc>
          <w:tcPr>
            <w:tcW w:w="1610" w:type="dxa"/>
            <w:shd w:val="clear" w:color="auto" w:fill="D9D9D9" w:themeFill="background1" w:themeFillShade="D9"/>
            <w:vAlign w:val="center"/>
          </w:tcPr>
          <w:p w14:paraId="59924950" w14:textId="56918531" w:rsidR="00490BAB" w:rsidRPr="00490BAB" w:rsidRDefault="00490BAB" w:rsidP="00EE7D8F">
            <w:pPr>
              <w:rPr>
                <w:b/>
                <w:bCs/>
              </w:rPr>
            </w:pPr>
            <w:r>
              <w:rPr>
                <w:b/>
                <w:bCs/>
              </w:rPr>
              <w:t>Base case</w:t>
            </w:r>
          </w:p>
        </w:tc>
        <w:tc>
          <w:tcPr>
            <w:tcW w:w="1610" w:type="dxa"/>
            <w:shd w:val="clear" w:color="auto" w:fill="D9D9D9" w:themeFill="background1" w:themeFillShade="D9"/>
            <w:vAlign w:val="center"/>
          </w:tcPr>
          <w:p w14:paraId="5C135AC7" w14:textId="20243E92" w:rsidR="00490BAB" w:rsidRPr="00490BAB" w:rsidRDefault="00490BAB" w:rsidP="00EE7D8F">
            <w:pPr>
              <w:rPr>
                <w:b/>
                <w:bCs/>
              </w:rPr>
            </w:pPr>
            <w:r>
              <w:rPr>
                <w:b/>
                <w:bCs/>
              </w:rPr>
              <w:t>Base case (SMEs)</w:t>
            </w:r>
          </w:p>
        </w:tc>
        <w:tc>
          <w:tcPr>
            <w:tcW w:w="1610" w:type="dxa"/>
            <w:shd w:val="clear" w:color="auto" w:fill="D9D9D9" w:themeFill="background1" w:themeFillShade="D9"/>
            <w:vAlign w:val="center"/>
          </w:tcPr>
          <w:p w14:paraId="46FEFF4A" w14:textId="6F789AC8" w:rsidR="00490BAB" w:rsidRPr="00490BAB" w:rsidRDefault="00490BAB" w:rsidP="00EE7D8F">
            <w:pPr>
              <w:rPr>
                <w:b/>
                <w:bCs/>
              </w:rPr>
            </w:pPr>
            <w:r>
              <w:rPr>
                <w:b/>
                <w:bCs/>
              </w:rPr>
              <w:t>Commission proposals (SMEs)</w:t>
            </w:r>
          </w:p>
        </w:tc>
        <w:tc>
          <w:tcPr>
            <w:tcW w:w="2925" w:type="dxa"/>
            <w:shd w:val="clear" w:color="auto" w:fill="D9D9D9" w:themeFill="background1" w:themeFillShade="D9"/>
            <w:vAlign w:val="center"/>
          </w:tcPr>
          <w:p w14:paraId="6D8E6087" w14:textId="567BDD90" w:rsidR="00490BAB" w:rsidRPr="00490BAB" w:rsidRDefault="00490BAB" w:rsidP="00EE7D8F">
            <w:pPr>
              <w:rPr>
                <w:b/>
                <w:bCs/>
              </w:rPr>
            </w:pPr>
            <w:r>
              <w:rPr>
                <w:b/>
                <w:bCs/>
              </w:rPr>
              <w:t>Rationale</w:t>
            </w:r>
          </w:p>
        </w:tc>
      </w:tr>
      <w:tr w:rsidR="00490BAB" w14:paraId="737A81C5" w14:textId="77777777" w:rsidTr="00EE7D8F">
        <w:tc>
          <w:tcPr>
            <w:tcW w:w="1270" w:type="dxa"/>
            <w:vAlign w:val="center"/>
          </w:tcPr>
          <w:p w14:paraId="61BC0E6D" w14:textId="6FBF88DB" w:rsidR="00490BAB" w:rsidRDefault="00490BAB" w:rsidP="00EE7D8F">
            <w:r>
              <w:t>Cost of capital</w:t>
            </w:r>
          </w:p>
        </w:tc>
        <w:tc>
          <w:tcPr>
            <w:tcW w:w="1610" w:type="dxa"/>
            <w:vAlign w:val="center"/>
          </w:tcPr>
          <w:p w14:paraId="06825553" w14:textId="0F5D2C6A" w:rsidR="00490BAB" w:rsidRDefault="00490BAB" w:rsidP="00EE7D8F">
            <w:r>
              <w:t>10.5%</w:t>
            </w:r>
          </w:p>
        </w:tc>
        <w:tc>
          <w:tcPr>
            <w:tcW w:w="1610" w:type="dxa"/>
            <w:vAlign w:val="center"/>
          </w:tcPr>
          <w:p w14:paraId="51100FF1" w14:textId="29C82DEA" w:rsidR="00490BAB" w:rsidRDefault="00490BAB" w:rsidP="00EE7D8F">
            <w:r>
              <w:t>16%</w:t>
            </w:r>
          </w:p>
        </w:tc>
        <w:tc>
          <w:tcPr>
            <w:tcW w:w="1610" w:type="dxa"/>
            <w:vAlign w:val="center"/>
          </w:tcPr>
          <w:p w14:paraId="42E56704" w14:textId="63293024" w:rsidR="00490BAB" w:rsidRDefault="00490BAB" w:rsidP="00EE7D8F">
            <w:r>
              <w:t>16%</w:t>
            </w:r>
          </w:p>
        </w:tc>
        <w:tc>
          <w:tcPr>
            <w:tcW w:w="2925" w:type="dxa"/>
            <w:vAlign w:val="center"/>
          </w:tcPr>
          <w:p w14:paraId="704072A1" w14:textId="3491D65F" w:rsidR="00490BAB" w:rsidRDefault="00490BAB" w:rsidP="00EE7D8F">
            <w:pPr>
              <w:pStyle w:val="Prrafodelista"/>
              <w:numPr>
                <w:ilvl w:val="0"/>
                <w:numId w:val="21"/>
              </w:numPr>
              <w:ind w:left="305" w:hanging="284"/>
            </w:pPr>
            <w:r>
              <w:t xml:space="preserve">Assumption that cost of capital is 50% higher than for large companies </w:t>
            </w:r>
          </w:p>
        </w:tc>
      </w:tr>
    </w:tbl>
    <w:p w14:paraId="2D33CE32" w14:textId="63587C64" w:rsidR="00490BAB" w:rsidRPr="00490BAB" w:rsidRDefault="00490BAB" w:rsidP="00490BAB">
      <w:pPr>
        <w:tabs>
          <w:tab w:val="left" w:pos="7284"/>
        </w:tabs>
      </w:pPr>
      <w:r>
        <w:tab/>
      </w:r>
    </w:p>
    <w:p w14:paraId="6F142005" w14:textId="18444226" w:rsidR="00490BAB" w:rsidRDefault="00490BAB" w:rsidP="00C93DCD">
      <w:pPr>
        <w:rPr>
          <w:i/>
          <w:iCs/>
        </w:rPr>
      </w:pPr>
      <w:r>
        <w:rPr>
          <w:i/>
          <w:iCs/>
        </w:rPr>
        <w:t>Appendix IV. Innovation model: changes in inputs for analysis of impact of environmental regulations</w:t>
      </w:r>
    </w:p>
    <w:tbl>
      <w:tblPr>
        <w:tblStyle w:val="Tablaconcuadrcula"/>
        <w:tblW w:w="9067" w:type="dxa"/>
        <w:tblLook w:val="04A0" w:firstRow="1" w:lastRow="0" w:firstColumn="1" w:lastColumn="0" w:noHBand="0" w:noVBand="1"/>
      </w:tblPr>
      <w:tblGrid>
        <w:gridCol w:w="1253"/>
        <w:gridCol w:w="1580"/>
        <w:gridCol w:w="1720"/>
        <w:gridCol w:w="4514"/>
      </w:tblGrid>
      <w:tr w:rsidR="00B101B9" w:rsidRPr="00490BAB" w14:paraId="7E6B94CC" w14:textId="77777777" w:rsidTr="00EE7D8F">
        <w:tc>
          <w:tcPr>
            <w:tcW w:w="1253" w:type="dxa"/>
            <w:shd w:val="clear" w:color="auto" w:fill="D9D9D9" w:themeFill="background1" w:themeFillShade="D9"/>
            <w:vAlign w:val="center"/>
          </w:tcPr>
          <w:p w14:paraId="55B32FD2" w14:textId="77777777" w:rsidR="00B101B9" w:rsidRPr="00490BAB" w:rsidRDefault="00B101B9" w:rsidP="00EE7D8F">
            <w:pPr>
              <w:rPr>
                <w:b/>
                <w:bCs/>
              </w:rPr>
            </w:pPr>
            <w:r w:rsidRPr="00490BAB">
              <w:rPr>
                <w:b/>
                <w:bCs/>
              </w:rPr>
              <w:t>Input</w:t>
            </w:r>
          </w:p>
        </w:tc>
        <w:tc>
          <w:tcPr>
            <w:tcW w:w="1580" w:type="dxa"/>
            <w:shd w:val="clear" w:color="auto" w:fill="D9D9D9" w:themeFill="background1" w:themeFillShade="D9"/>
            <w:vAlign w:val="center"/>
          </w:tcPr>
          <w:p w14:paraId="563E80C7" w14:textId="77777777" w:rsidR="00B101B9" w:rsidRPr="00490BAB" w:rsidRDefault="00B101B9" w:rsidP="00EE7D8F">
            <w:pPr>
              <w:rPr>
                <w:b/>
                <w:bCs/>
              </w:rPr>
            </w:pPr>
            <w:r>
              <w:rPr>
                <w:b/>
                <w:bCs/>
              </w:rPr>
              <w:t>Base case</w:t>
            </w:r>
          </w:p>
        </w:tc>
        <w:tc>
          <w:tcPr>
            <w:tcW w:w="1720" w:type="dxa"/>
            <w:shd w:val="clear" w:color="auto" w:fill="D9D9D9" w:themeFill="background1" w:themeFillShade="D9"/>
            <w:vAlign w:val="center"/>
          </w:tcPr>
          <w:p w14:paraId="36DF24F1" w14:textId="253852DA" w:rsidR="00B101B9" w:rsidRPr="00490BAB" w:rsidRDefault="00B101B9" w:rsidP="00EE7D8F">
            <w:pPr>
              <w:rPr>
                <w:b/>
                <w:bCs/>
              </w:rPr>
            </w:pPr>
            <w:r>
              <w:rPr>
                <w:b/>
                <w:bCs/>
              </w:rPr>
              <w:t>Commission proposals, including environmental regulations</w:t>
            </w:r>
          </w:p>
        </w:tc>
        <w:tc>
          <w:tcPr>
            <w:tcW w:w="4514" w:type="dxa"/>
            <w:shd w:val="clear" w:color="auto" w:fill="D9D9D9" w:themeFill="background1" w:themeFillShade="D9"/>
            <w:vAlign w:val="center"/>
          </w:tcPr>
          <w:p w14:paraId="6B999810" w14:textId="77777777" w:rsidR="00B101B9" w:rsidRPr="00490BAB" w:rsidRDefault="00B101B9" w:rsidP="00EE7D8F">
            <w:pPr>
              <w:rPr>
                <w:b/>
                <w:bCs/>
              </w:rPr>
            </w:pPr>
            <w:r>
              <w:rPr>
                <w:b/>
                <w:bCs/>
              </w:rPr>
              <w:t>Rationale</w:t>
            </w:r>
          </w:p>
        </w:tc>
      </w:tr>
      <w:tr w:rsidR="00B101B9" w14:paraId="477AC4D4" w14:textId="77777777" w:rsidTr="00EE7D8F">
        <w:tc>
          <w:tcPr>
            <w:tcW w:w="1253" w:type="dxa"/>
            <w:vAlign w:val="center"/>
          </w:tcPr>
          <w:p w14:paraId="00384109" w14:textId="7089CC8B" w:rsidR="00B101B9" w:rsidRDefault="00B101B9" w:rsidP="00EE7D8F">
            <w:r>
              <w:t>R&amp;D costs</w:t>
            </w:r>
          </w:p>
        </w:tc>
        <w:tc>
          <w:tcPr>
            <w:tcW w:w="1580" w:type="dxa"/>
            <w:vAlign w:val="center"/>
          </w:tcPr>
          <w:p w14:paraId="0923B18B" w14:textId="22AEF320" w:rsidR="00B101B9" w:rsidRDefault="00B101B9" w:rsidP="00EE7D8F">
            <w:r>
              <w:t>€150 million out-of-pocket costs globally, adjusted for inflation</w:t>
            </w:r>
          </w:p>
        </w:tc>
        <w:tc>
          <w:tcPr>
            <w:tcW w:w="1720" w:type="dxa"/>
            <w:vAlign w:val="center"/>
          </w:tcPr>
          <w:p w14:paraId="395EC89C" w14:textId="79B8F3CF" w:rsidR="00B101B9" w:rsidRDefault="00B101B9" w:rsidP="00EE7D8F">
            <w:r>
              <w:t>€157.5 million out-of-pocket costs globally, adjusted for inflation</w:t>
            </w:r>
          </w:p>
        </w:tc>
        <w:tc>
          <w:tcPr>
            <w:tcW w:w="4514" w:type="dxa"/>
            <w:vAlign w:val="center"/>
          </w:tcPr>
          <w:p w14:paraId="1611E494" w14:textId="40A6DF9C" w:rsidR="00B101B9" w:rsidRDefault="00706EBB" w:rsidP="00EE7D8F">
            <w:pPr>
              <w:pStyle w:val="Prrafodelista"/>
              <w:numPr>
                <w:ilvl w:val="0"/>
                <w:numId w:val="21"/>
              </w:numPr>
              <w:ind w:left="305" w:hanging="284"/>
            </w:pPr>
            <w:r>
              <w:t>E</w:t>
            </w:r>
            <w:r w:rsidR="00B101B9">
              <w:t xml:space="preserve">stimate of a 5% increase in R&amp;D costs </w:t>
            </w:r>
            <w:proofErr w:type="gramStart"/>
            <w:r w:rsidR="00B101B9">
              <w:t>as a result of</w:t>
            </w:r>
            <w:proofErr w:type="gramEnd"/>
            <w:r w:rsidR="00B101B9">
              <w:t xml:space="preserve"> more extensive ERA requirements and constraints on substances involved in manufacturing and packaging</w:t>
            </w:r>
          </w:p>
        </w:tc>
      </w:tr>
      <w:tr w:rsidR="00B101B9" w14:paraId="79B121AB" w14:textId="77777777" w:rsidTr="00EE7D8F">
        <w:trPr>
          <w:trHeight w:val="558"/>
        </w:trPr>
        <w:tc>
          <w:tcPr>
            <w:tcW w:w="1253" w:type="dxa"/>
            <w:vAlign w:val="center"/>
          </w:tcPr>
          <w:p w14:paraId="11C6EB58" w14:textId="24C1B385" w:rsidR="00B101B9" w:rsidRDefault="00B101B9" w:rsidP="00EE7D8F">
            <w:r>
              <w:t>Other costs (COGS and SG&amp;A)</w:t>
            </w:r>
          </w:p>
        </w:tc>
        <w:tc>
          <w:tcPr>
            <w:tcW w:w="1580" w:type="dxa"/>
            <w:vAlign w:val="center"/>
          </w:tcPr>
          <w:p w14:paraId="173F51E2" w14:textId="461F1380" w:rsidR="00B101B9" w:rsidRDefault="00B101B9" w:rsidP="00EE7D8F">
            <w:pPr>
              <w:ind w:left="30"/>
            </w:pPr>
            <w:r>
              <w:t>29% of revenue on COGS</w:t>
            </w:r>
          </w:p>
        </w:tc>
        <w:tc>
          <w:tcPr>
            <w:tcW w:w="1720" w:type="dxa"/>
            <w:vAlign w:val="center"/>
          </w:tcPr>
          <w:p w14:paraId="0E68A61A" w14:textId="2648AFD1" w:rsidR="00B101B9" w:rsidRDefault="00B101B9" w:rsidP="00EE7D8F">
            <w:pPr>
              <w:ind w:left="30"/>
            </w:pPr>
            <w:r>
              <w:t>34.8% of revenue on COGS</w:t>
            </w:r>
          </w:p>
          <w:p w14:paraId="73350671" w14:textId="6C86997F" w:rsidR="00B101B9" w:rsidRDefault="00B101B9" w:rsidP="00EE7D8F">
            <w:pPr>
              <w:pStyle w:val="Prrafodelista"/>
              <w:ind w:left="313"/>
            </w:pPr>
          </w:p>
        </w:tc>
        <w:tc>
          <w:tcPr>
            <w:tcW w:w="4514" w:type="dxa"/>
            <w:vAlign w:val="center"/>
          </w:tcPr>
          <w:p w14:paraId="544517DB" w14:textId="65A97599" w:rsidR="00B101B9" w:rsidRDefault="00706EBB" w:rsidP="00EE7D8F">
            <w:pPr>
              <w:pStyle w:val="Prrafodelista"/>
              <w:numPr>
                <w:ilvl w:val="0"/>
                <w:numId w:val="21"/>
              </w:numPr>
              <w:ind w:left="305" w:hanging="284"/>
            </w:pPr>
            <w:r>
              <w:t>E</w:t>
            </w:r>
            <w:r w:rsidR="00B101B9">
              <w:t xml:space="preserve">stimate of a 20% increase in COGS </w:t>
            </w:r>
            <w:proofErr w:type="gramStart"/>
            <w:r w:rsidR="00B101B9">
              <w:t>as a result of</w:t>
            </w:r>
            <w:proofErr w:type="gramEnd"/>
            <w:r w:rsidR="00B101B9">
              <w:t xml:space="preserve"> more extensive ERA requirements and constraints on substances involved in manufacturing and packaging</w:t>
            </w:r>
          </w:p>
        </w:tc>
      </w:tr>
    </w:tbl>
    <w:p w14:paraId="09D86743" w14:textId="4F5D3FB9" w:rsidR="00BA4054" w:rsidRDefault="00BA4054" w:rsidP="00C93DCD"/>
    <w:p w14:paraId="2ACAAC45" w14:textId="3A388FD4" w:rsidR="00BA4054" w:rsidRDefault="00BA4054" w:rsidP="00C93DCD">
      <w:pPr>
        <w:rPr>
          <w:i/>
          <w:iCs/>
        </w:rPr>
      </w:pPr>
      <w:r>
        <w:rPr>
          <w:i/>
          <w:iCs/>
        </w:rPr>
        <w:t>Appendix V. Access mode</w:t>
      </w:r>
      <w:r w:rsidR="008E1650">
        <w:rPr>
          <w:i/>
          <w:iCs/>
        </w:rPr>
        <w:t xml:space="preserve">l </w:t>
      </w:r>
      <w:r>
        <w:rPr>
          <w:i/>
          <w:iCs/>
        </w:rPr>
        <w:t>inputs</w:t>
      </w:r>
    </w:p>
    <w:tbl>
      <w:tblPr>
        <w:tblStyle w:val="Tablaconcuadrcula"/>
        <w:tblW w:w="0" w:type="auto"/>
        <w:tblInd w:w="-5" w:type="dxa"/>
        <w:tblLook w:val="04A0" w:firstRow="1" w:lastRow="0" w:firstColumn="1" w:lastColumn="0" w:noHBand="0" w:noVBand="1"/>
      </w:tblPr>
      <w:tblGrid>
        <w:gridCol w:w="1502"/>
        <w:gridCol w:w="2410"/>
        <w:gridCol w:w="5019"/>
      </w:tblGrid>
      <w:tr w:rsidR="00BA4054" w14:paraId="173C93CD" w14:textId="77777777" w:rsidTr="00A90656">
        <w:trPr>
          <w:trHeight w:val="340"/>
        </w:trPr>
        <w:tc>
          <w:tcPr>
            <w:tcW w:w="1502" w:type="dxa"/>
            <w:shd w:val="clear" w:color="auto" w:fill="D9D9D9" w:themeFill="background1" w:themeFillShade="D9"/>
            <w:vAlign w:val="center"/>
          </w:tcPr>
          <w:p w14:paraId="4418A9F4" w14:textId="77777777" w:rsidR="00BA4054" w:rsidRPr="00893886" w:rsidRDefault="00BA4054" w:rsidP="00A90656">
            <w:pPr>
              <w:rPr>
                <w:b/>
                <w:bCs/>
              </w:rPr>
            </w:pPr>
            <w:r w:rsidRPr="00893886">
              <w:rPr>
                <w:b/>
                <w:bCs/>
              </w:rPr>
              <w:t>Input</w:t>
            </w:r>
          </w:p>
        </w:tc>
        <w:tc>
          <w:tcPr>
            <w:tcW w:w="2410" w:type="dxa"/>
            <w:shd w:val="clear" w:color="auto" w:fill="D9D9D9" w:themeFill="background1" w:themeFillShade="D9"/>
            <w:vAlign w:val="center"/>
          </w:tcPr>
          <w:p w14:paraId="013CBD6D" w14:textId="77777777" w:rsidR="00BA4054" w:rsidRPr="00893886" w:rsidRDefault="00BA4054" w:rsidP="00A90656">
            <w:pPr>
              <w:rPr>
                <w:b/>
                <w:bCs/>
              </w:rPr>
            </w:pPr>
            <w:r w:rsidRPr="00893886">
              <w:rPr>
                <w:b/>
                <w:bCs/>
              </w:rPr>
              <w:t>Value</w:t>
            </w:r>
          </w:p>
        </w:tc>
        <w:tc>
          <w:tcPr>
            <w:tcW w:w="5019" w:type="dxa"/>
            <w:shd w:val="clear" w:color="auto" w:fill="D9D9D9" w:themeFill="background1" w:themeFillShade="D9"/>
            <w:vAlign w:val="center"/>
          </w:tcPr>
          <w:p w14:paraId="123BB287" w14:textId="77777777" w:rsidR="00BA4054" w:rsidRPr="00893886" w:rsidRDefault="00BA4054" w:rsidP="00A90656">
            <w:pPr>
              <w:rPr>
                <w:b/>
                <w:bCs/>
              </w:rPr>
            </w:pPr>
            <w:r w:rsidRPr="00893886">
              <w:rPr>
                <w:b/>
                <w:bCs/>
              </w:rPr>
              <w:t>Details</w:t>
            </w:r>
          </w:p>
        </w:tc>
      </w:tr>
      <w:tr w:rsidR="00BA4054" w14:paraId="13A2AB57" w14:textId="77777777" w:rsidTr="00A90656">
        <w:trPr>
          <w:cantSplit/>
          <w:trHeight w:val="340"/>
        </w:trPr>
        <w:tc>
          <w:tcPr>
            <w:tcW w:w="8931" w:type="dxa"/>
            <w:gridSpan w:val="3"/>
            <w:shd w:val="clear" w:color="auto" w:fill="F2F2F2" w:themeFill="background1" w:themeFillShade="F2"/>
            <w:vAlign w:val="center"/>
          </w:tcPr>
          <w:p w14:paraId="09FEEBA4" w14:textId="77777777" w:rsidR="00BA4054" w:rsidRPr="001D0C09" w:rsidRDefault="00BA4054" w:rsidP="00A90656">
            <w:pPr>
              <w:rPr>
                <w:b/>
                <w:bCs/>
              </w:rPr>
            </w:pPr>
            <w:r w:rsidRPr="001D0C09">
              <w:rPr>
                <w:b/>
                <w:bCs/>
              </w:rPr>
              <w:t>Revenue</w:t>
            </w:r>
          </w:p>
        </w:tc>
      </w:tr>
      <w:tr w:rsidR="00BA4054" w14:paraId="216C3000" w14:textId="77777777" w:rsidTr="00A90656">
        <w:trPr>
          <w:cantSplit/>
          <w:trHeight w:val="1275"/>
        </w:trPr>
        <w:tc>
          <w:tcPr>
            <w:tcW w:w="1502" w:type="dxa"/>
            <w:vAlign w:val="center"/>
          </w:tcPr>
          <w:p w14:paraId="6293DFA3" w14:textId="75992C4A" w:rsidR="00BA4054" w:rsidRDefault="00BA4054" w:rsidP="00A90656">
            <w:r>
              <w:lastRenderedPageBreak/>
              <w:t>Prevalence</w:t>
            </w:r>
          </w:p>
        </w:tc>
        <w:tc>
          <w:tcPr>
            <w:tcW w:w="2410" w:type="dxa"/>
            <w:vAlign w:val="center"/>
          </w:tcPr>
          <w:p w14:paraId="38B1F959" w14:textId="77777777" w:rsidR="00BA4054" w:rsidRDefault="00BA4054" w:rsidP="00A90656">
            <w:pPr>
              <w:pStyle w:val="Prrafodelista"/>
              <w:numPr>
                <w:ilvl w:val="0"/>
                <w:numId w:val="18"/>
              </w:numPr>
              <w:ind w:left="313" w:hanging="283"/>
            </w:pPr>
            <w:r>
              <w:t>Prevalent disease: 1,000 per 10,000</w:t>
            </w:r>
          </w:p>
          <w:p w14:paraId="5DF76D28" w14:textId="0001FA42" w:rsidR="00BA4054" w:rsidRDefault="00BA4054" w:rsidP="00A90656">
            <w:pPr>
              <w:pStyle w:val="Prrafodelista"/>
              <w:numPr>
                <w:ilvl w:val="0"/>
                <w:numId w:val="18"/>
              </w:numPr>
              <w:ind w:left="313" w:hanging="283"/>
            </w:pPr>
            <w:r>
              <w:t>Rare disease: 1 per 10,000</w:t>
            </w:r>
          </w:p>
        </w:tc>
        <w:tc>
          <w:tcPr>
            <w:tcW w:w="5019" w:type="dxa"/>
            <w:vAlign w:val="center"/>
          </w:tcPr>
          <w:p w14:paraId="65F93A9F" w14:textId="77777777" w:rsidR="003304D3" w:rsidRDefault="00BA4054" w:rsidP="00A90656">
            <w:pPr>
              <w:pStyle w:val="Prrafodelista"/>
              <w:numPr>
                <w:ilvl w:val="0"/>
                <w:numId w:val="18"/>
              </w:numPr>
              <w:ind w:left="315" w:hanging="283"/>
            </w:pPr>
            <w:r>
              <w:t xml:space="preserve">The </w:t>
            </w:r>
            <w:r w:rsidR="00162290">
              <w:t>model considers two disease archetypes (a prevalent disease and a rare disease</w:t>
            </w:r>
          </w:p>
          <w:p w14:paraId="04F761B6" w14:textId="07840D9C" w:rsidR="00BA4054" w:rsidRDefault="003304D3" w:rsidP="00A90656">
            <w:pPr>
              <w:pStyle w:val="Prrafodelista"/>
              <w:numPr>
                <w:ilvl w:val="0"/>
                <w:numId w:val="18"/>
              </w:numPr>
              <w:ind w:left="315" w:hanging="283"/>
            </w:pPr>
            <w:r>
              <w:t>Prevalent p</w:t>
            </w:r>
            <w:r w:rsidR="00B60119">
              <w:t>atient population calculated based on country population</w:t>
            </w:r>
            <w:r w:rsidR="00B60119">
              <w:rPr>
                <w:rStyle w:val="Refdenotaalpie"/>
              </w:rPr>
              <w:footnoteReference w:id="54"/>
            </w:r>
          </w:p>
        </w:tc>
      </w:tr>
      <w:tr w:rsidR="00B60119" w14:paraId="49A5EDFE" w14:textId="77777777" w:rsidTr="00A90656">
        <w:trPr>
          <w:cantSplit/>
          <w:trHeight w:val="1275"/>
        </w:trPr>
        <w:tc>
          <w:tcPr>
            <w:tcW w:w="1502" w:type="dxa"/>
            <w:vAlign w:val="center"/>
          </w:tcPr>
          <w:p w14:paraId="003C53E5" w14:textId="359C68B7" w:rsidR="00B60119" w:rsidRDefault="00B60119" w:rsidP="00B60119">
            <w:r>
              <w:t>Peak share of prevalent patients treated</w:t>
            </w:r>
          </w:p>
        </w:tc>
        <w:tc>
          <w:tcPr>
            <w:tcW w:w="2410" w:type="dxa"/>
            <w:vAlign w:val="center"/>
          </w:tcPr>
          <w:p w14:paraId="17F9DC66" w14:textId="77777777" w:rsidR="00B60119" w:rsidRDefault="00B60119" w:rsidP="00B60119">
            <w:pPr>
              <w:pStyle w:val="Prrafodelista"/>
              <w:numPr>
                <w:ilvl w:val="0"/>
                <w:numId w:val="18"/>
              </w:numPr>
              <w:ind w:left="313" w:hanging="283"/>
            </w:pPr>
            <w:r>
              <w:t>Prevalent disease: 1%</w:t>
            </w:r>
          </w:p>
          <w:p w14:paraId="256B2CB8" w14:textId="6789018E" w:rsidR="00B60119" w:rsidRDefault="00B60119" w:rsidP="00B60119">
            <w:pPr>
              <w:pStyle w:val="Prrafodelista"/>
              <w:numPr>
                <w:ilvl w:val="0"/>
                <w:numId w:val="18"/>
              </w:numPr>
              <w:ind w:left="313" w:hanging="283"/>
            </w:pPr>
            <w:r>
              <w:t>Rare disease: 15%</w:t>
            </w:r>
          </w:p>
        </w:tc>
        <w:tc>
          <w:tcPr>
            <w:tcW w:w="5019" w:type="dxa"/>
            <w:vAlign w:val="center"/>
          </w:tcPr>
          <w:p w14:paraId="1B9F4EFD" w14:textId="02767690" w:rsidR="00B60119" w:rsidRDefault="003304D3" w:rsidP="00B60119">
            <w:pPr>
              <w:pStyle w:val="Prrafodelista"/>
              <w:numPr>
                <w:ilvl w:val="0"/>
                <w:numId w:val="18"/>
              </w:numPr>
              <w:ind w:left="315" w:hanging="283"/>
            </w:pPr>
            <w:r>
              <w:t xml:space="preserve">Assumption </w:t>
            </w:r>
          </w:p>
        </w:tc>
      </w:tr>
      <w:tr w:rsidR="00B60119" w14:paraId="27C67C9C" w14:textId="77777777" w:rsidTr="00A90656">
        <w:trPr>
          <w:cantSplit/>
          <w:trHeight w:val="1275"/>
        </w:trPr>
        <w:tc>
          <w:tcPr>
            <w:tcW w:w="1502" w:type="dxa"/>
            <w:vAlign w:val="center"/>
          </w:tcPr>
          <w:p w14:paraId="6076F015" w14:textId="43A90D11" w:rsidR="00B60119" w:rsidRDefault="00B60119" w:rsidP="00B60119">
            <w:r>
              <w:t>Time to access</w:t>
            </w:r>
          </w:p>
        </w:tc>
        <w:tc>
          <w:tcPr>
            <w:tcW w:w="2410" w:type="dxa"/>
            <w:vAlign w:val="center"/>
          </w:tcPr>
          <w:p w14:paraId="4DE54EA3" w14:textId="36FCAB2B" w:rsidR="00B60119" w:rsidRDefault="00B60119" w:rsidP="00B60119">
            <w:pPr>
              <w:pStyle w:val="Prrafodelista"/>
              <w:numPr>
                <w:ilvl w:val="0"/>
                <w:numId w:val="18"/>
              </w:numPr>
              <w:ind w:left="313" w:hanging="283"/>
            </w:pPr>
            <w:r>
              <w:t>Variable by country</w:t>
            </w:r>
          </w:p>
        </w:tc>
        <w:tc>
          <w:tcPr>
            <w:tcW w:w="5019" w:type="dxa"/>
            <w:vAlign w:val="center"/>
          </w:tcPr>
          <w:p w14:paraId="7106AA77" w14:textId="6B6405D8" w:rsidR="00B60119" w:rsidRDefault="003304D3" w:rsidP="00B60119">
            <w:pPr>
              <w:pStyle w:val="Prrafodelista"/>
              <w:numPr>
                <w:ilvl w:val="0"/>
                <w:numId w:val="18"/>
              </w:numPr>
              <w:ind w:left="315" w:hanging="283"/>
            </w:pPr>
            <w:r>
              <w:t>D</w:t>
            </w:r>
            <w:r w:rsidR="00B60119">
              <w:t>erived from WAIT indicator and set at maximum 3 years</w:t>
            </w:r>
            <w:r w:rsidR="00B60119">
              <w:rPr>
                <w:rStyle w:val="Refdenotaalpie"/>
              </w:rPr>
              <w:footnoteReference w:id="55"/>
            </w:r>
          </w:p>
        </w:tc>
      </w:tr>
      <w:tr w:rsidR="00B60119" w14:paraId="62AE5C1D" w14:textId="77777777" w:rsidTr="00A90656">
        <w:trPr>
          <w:cantSplit/>
          <w:trHeight w:val="1275"/>
        </w:trPr>
        <w:tc>
          <w:tcPr>
            <w:tcW w:w="1502" w:type="dxa"/>
            <w:vAlign w:val="center"/>
          </w:tcPr>
          <w:p w14:paraId="34FFEAAB" w14:textId="2B1851C4" w:rsidR="00B60119" w:rsidRDefault="00B60119" w:rsidP="00B60119">
            <w:r>
              <w:t>German price (used as anchor)</w:t>
            </w:r>
          </w:p>
        </w:tc>
        <w:tc>
          <w:tcPr>
            <w:tcW w:w="2410" w:type="dxa"/>
            <w:vAlign w:val="center"/>
          </w:tcPr>
          <w:p w14:paraId="1B867FB7" w14:textId="77777777" w:rsidR="00B60119" w:rsidRDefault="00B60119" w:rsidP="00B60119">
            <w:pPr>
              <w:pStyle w:val="Prrafodelista"/>
              <w:numPr>
                <w:ilvl w:val="0"/>
                <w:numId w:val="18"/>
              </w:numPr>
              <w:ind w:left="313" w:hanging="283"/>
            </w:pPr>
            <w:r>
              <w:t>Prevalent disease: €2,000</w:t>
            </w:r>
          </w:p>
          <w:p w14:paraId="58DA7B36" w14:textId="64FEE344" w:rsidR="00B60119" w:rsidRDefault="00B60119" w:rsidP="00B60119">
            <w:pPr>
              <w:pStyle w:val="Prrafodelista"/>
              <w:numPr>
                <w:ilvl w:val="0"/>
                <w:numId w:val="18"/>
              </w:numPr>
              <w:ind w:left="313" w:hanging="283"/>
            </w:pPr>
            <w:r>
              <w:t>Rare disease: €100,000</w:t>
            </w:r>
          </w:p>
        </w:tc>
        <w:tc>
          <w:tcPr>
            <w:tcW w:w="5019" w:type="dxa"/>
            <w:vAlign w:val="center"/>
          </w:tcPr>
          <w:p w14:paraId="50B59F55" w14:textId="62B9B8B9" w:rsidR="00B60119" w:rsidRDefault="00B60119" w:rsidP="00B60119">
            <w:pPr>
              <w:pStyle w:val="Prrafodelista"/>
              <w:numPr>
                <w:ilvl w:val="0"/>
                <w:numId w:val="18"/>
              </w:numPr>
              <w:ind w:left="315" w:hanging="283"/>
            </w:pPr>
            <w:r>
              <w:t>Price adjusted for each country based on price indexes</w:t>
            </w:r>
            <w:r>
              <w:rPr>
                <w:rStyle w:val="Refdenotaalpie"/>
              </w:rPr>
              <w:footnoteReference w:id="56"/>
            </w:r>
          </w:p>
        </w:tc>
      </w:tr>
      <w:tr w:rsidR="00B60119" w14:paraId="434D3BD7" w14:textId="77777777" w:rsidTr="00A90656">
        <w:trPr>
          <w:trHeight w:val="340"/>
        </w:trPr>
        <w:tc>
          <w:tcPr>
            <w:tcW w:w="8931" w:type="dxa"/>
            <w:gridSpan w:val="3"/>
            <w:shd w:val="clear" w:color="auto" w:fill="F2F2F2" w:themeFill="background1" w:themeFillShade="F2"/>
            <w:vAlign w:val="center"/>
          </w:tcPr>
          <w:p w14:paraId="4E7A4245" w14:textId="77777777" w:rsidR="00B60119" w:rsidRPr="001D0C09" w:rsidRDefault="00B60119" w:rsidP="00B60119">
            <w:pPr>
              <w:rPr>
                <w:b/>
                <w:bCs/>
              </w:rPr>
            </w:pPr>
            <w:r w:rsidRPr="001D0C09">
              <w:rPr>
                <w:b/>
                <w:bCs/>
              </w:rPr>
              <w:t>Costs</w:t>
            </w:r>
          </w:p>
        </w:tc>
      </w:tr>
      <w:tr w:rsidR="00B60119" w14:paraId="468AB192" w14:textId="77777777" w:rsidTr="00A90656">
        <w:tc>
          <w:tcPr>
            <w:tcW w:w="1502" w:type="dxa"/>
            <w:vAlign w:val="center"/>
          </w:tcPr>
          <w:p w14:paraId="0F58F310" w14:textId="026764F1" w:rsidR="00B60119" w:rsidRDefault="00B60119" w:rsidP="00B60119">
            <w:r>
              <w:t>COGS and SG&amp;A</w:t>
            </w:r>
          </w:p>
        </w:tc>
        <w:tc>
          <w:tcPr>
            <w:tcW w:w="2410" w:type="dxa"/>
            <w:vAlign w:val="center"/>
          </w:tcPr>
          <w:p w14:paraId="66F9F3AF" w14:textId="37037756" w:rsidR="00B60119" w:rsidRDefault="00B60119" w:rsidP="00B60119">
            <w:pPr>
              <w:pStyle w:val="Prrafodelista"/>
              <w:numPr>
                <w:ilvl w:val="0"/>
                <w:numId w:val="18"/>
              </w:numPr>
              <w:ind w:left="313" w:hanging="283"/>
            </w:pPr>
            <w:r>
              <w:t xml:space="preserve">COGS estimated at 29% of </w:t>
            </w:r>
            <w:proofErr w:type="gramStart"/>
            <w:r>
              <w:t>revenue</w:t>
            </w:r>
            <w:proofErr w:type="gramEnd"/>
            <w:r>
              <w:t xml:space="preserve"> </w:t>
            </w:r>
          </w:p>
          <w:p w14:paraId="218C175E" w14:textId="61A74189" w:rsidR="00B60119" w:rsidRDefault="00B60119" w:rsidP="00B60119">
            <w:pPr>
              <w:pStyle w:val="Prrafodelista"/>
              <w:numPr>
                <w:ilvl w:val="0"/>
                <w:numId w:val="18"/>
              </w:numPr>
              <w:ind w:left="313" w:hanging="283"/>
            </w:pPr>
            <w:r>
              <w:t xml:space="preserve">Large company: annual SG&amp;A varying between €2-10 </w:t>
            </w:r>
            <w:proofErr w:type="gramStart"/>
            <w:r>
              <w:t>million</w:t>
            </w:r>
            <w:proofErr w:type="gramEnd"/>
            <w:r>
              <w:t xml:space="preserve"> </w:t>
            </w:r>
          </w:p>
          <w:p w14:paraId="729F9032" w14:textId="12C283C9" w:rsidR="00B60119" w:rsidRDefault="00B60119" w:rsidP="00B60119">
            <w:pPr>
              <w:pStyle w:val="Prrafodelista"/>
              <w:numPr>
                <w:ilvl w:val="0"/>
                <w:numId w:val="18"/>
              </w:numPr>
              <w:ind w:left="313" w:hanging="283"/>
            </w:pPr>
            <w:r>
              <w:t xml:space="preserve">Small company: annual SG&amp;A varying between €5-25 </w:t>
            </w:r>
            <w:proofErr w:type="gramStart"/>
            <w:r>
              <w:t>million</w:t>
            </w:r>
            <w:proofErr w:type="gramEnd"/>
            <w:r>
              <w:t xml:space="preserve"> </w:t>
            </w:r>
          </w:p>
          <w:p w14:paraId="32488B67" w14:textId="0D09EFD9" w:rsidR="00B60119" w:rsidRDefault="00B60119" w:rsidP="00B60119">
            <w:pPr>
              <w:pStyle w:val="Prrafodelista"/>
              <w:numPr>
                <w:ilvl w:val="0"/>
                <w:numId w:val="18"/>
              </w:numPr>
              <w:ind w:left="313" w:hanging="283"/>
            </w:pPr>
            <w:r>
              <w:t>Small yearly expense for ongoing R&amp;D costs</w:t>
            </w:r>
          </w:p>
        </w:tc>
        <w:tc>
          <w:tcPr>
            <w:tcW w:w="5019" w:type="dxa"/>
            <w:vAlign w:val="center"/>
          </w:tcPr>
          <w:p w14:paraId="6AFA5E0C" w14:textId="61B34FA6" w:rsidR="00B60119" w:rsidRDefault="00B60119" w:rsidP="00B60119">
            <w:pPr>
              <w:pStyle w:val="Prrafodelista"/>
              <w:numPr>
                <w:ilvl w:val="0"/>
                <w:numId w:val="18"/>
              </w:numPr>
              <w:ind w:left="315" w:hanging="283"/>
            </w:pPr>
            <w:r>
              <w:t xml:space="preserve">COGS based on Dolon analysis of company annual </w:t>
            </w:r>
            <w:proofErr w:type="gramStart"/>
            <w:r>
              <w:t>reports</w:t>
            </w:r>
            <w:proofErr w:type="gramEnd"/>
          </w:p>
          <w:p w14:paraId="4C1CD10E" w14:textId="06A42189" w:rsidR="00B60119" w:rsidRDefault="00B60119" w:rsidP="00B60119">
            <w:pPr>
              <w:pStyle w:val="Prrafodelista"/>
              <w:numPr>
                <w:ilvl w:val="0"/>
                <w:numId w:val="18"/>
              </w:numPr>
              <w:ind w:left="315" w:hanging="283"/>
            </w:pPr>
            <w:r>
              <w:t xml:space="preserve">SG&amp;A based on country </w:t>
            </w:r>
            <w:proofErr w:type="gramStart"/>
            <w:r>
              <w:t>size</w:t>
            </w:r>
            <w:proofErr w:type="gramEnd"/>
          </w:p>
          <w:p w14:paraId="290F2EFF" w14:textId="6EE89072" w:rsidR="00B60119" w:rsidRDefault="00B60119" w:rsidP="00B60119">
            <w:pPr>
              <w:pStyle w:val="Prrafodelista"/>
              <w:numPr>
                <w:ilvl w:val="0"/>
                <w:numId w:val="18"/>
              </w:numPr>
              <w:ind w:left="315" w:hanging="283"/>
            </w:pPr>
            <w:r>
              <w:t>Note: COGS may differ by product type (e.g., they may be much higher for specialised therapies such as ATMPs and plasma-derived medicinal products</w:t>
            </w:r>
          </w:p>
        </w:tc>
      </w:tr>
      <w:tr w:rsidR="00B60119" w14:paraId="4657D854" w14:textId="77777777" w:rsidTr="00A90656">
        <w:trPr>
          <w:trHeight w:val="340"/>
        </w:trPr>
        <w:tc>
          <w:tcPr>
            <w:tcW w:w="8931" w:type="dxa"/>
            <w:gridSpan w:val="3"/>
            <w:shd w:val="clear" w:color="auto" w:fill="F2F2F2" w:themeFill="background1" w:themeFillShade="F2"/>
            <w:vAlign w:val="center"/>
          </w:tcPr>
          <w:p w14:paraId="2294ED14" w14:textId="77777777" w:rsidR="00B60119" w:rsidRPr="001D0C09" w:rsidRDefault="00B60119" w:rsidP="00B60119">
            <w:pPr>
              <w:rPr>
                <w:b/>
                <w:bCs/>
              </w:rPr>
            </w:pPr>
            <w:r w:rsidRPr="001D0C09">
              <w:rPr>
                <w:b/>
                <w:bCs/>
              </w:rPr>
              <w:t>Time</w:t>
            </w:r>
          </w:p>
        </w:tc>
      </w:tr>
      <w:tr w:rsidR="00B60119" w14:paraId="464D0113" w14:textId="77777777" w:rsidTr="00A90656">
        <w:tc>
          <w:tcPr>
            <w:tcW w:w="1502" w:type="dxa"/>
            <w:vAlign w:val="center"/>
          </w:tcPr>
          <w:p w14:paraId="3312F3F8" w14:textId="28C69089" w:rsidR="00B60119" w:rsidRDefault="00B60119" w:rsidP="00B60119">
            <w:r>
              <w:t xml:space="preserve">RDP duration </w:t>
            </w:r>
          </w:p>
        </w:tc>
        <w:tc>
          <w:tcPr>
            <w:tcW w:w="2410" w:type="dxa"/>
            <w:vAlign w:val="center"/>
          </w:tcPr>
          <w:p w14:paraId="61486CCE" w14:textId="6D62B97F" w:rsidR="00B60119" w:rsidRDefault="00B60119" w:rsidP="00B60119">
            <w:pPr>
              <w:pStyle w:val="Prrafodelista"/>
              <w:numPr>
                <w:ilvl w:val="0"/>
                <w:numId w:val="18"/>
              </w:numPr>
              <w:ind w:left="313" w:hanging="283"/>
            </w:pPr>
            <w:r>
              <w:t>10 years (base case, but varied upwards / downwards in Commission / EFPIA scenarios)</w:t>
            </w:r>
          </w:p>
        </w:tc>
        <w:tc>
          <w:tcPr>
            <w:tcW w:w="5019" w:type="dxa"/>
            <w:vAlign w:val="center"/>
          </w:tcPr>
          <w:p w14:paraId="674467BF" w14:textId="774110A6" w:rsidR="00B60119" w:rsidRDefault="00B60119" w:rsidP="00B60119">
            <w:pPr>
              <w:pStyle w:val="Prrafodelista"/>
              <w:numPr>
                <w:ilvl w:val="0"/>
                <w:numId w:val="18"/>
              </w:numPr>
              <w:ind w:left="315" w:hanging="283"/>
            </w:pPr>
            <w:r>
              <w:t xml:space="preserve">Varying RDP duration based on scenario, with 50% drop in market share and 10% drop in price at </w:t>
            </w:r>
            <w:r w:rsidR="003304D3">
              <w:t>loss</w:t>
            </w:r>
            <w:r>
              <w:t xml:space="preserve"> of exclusivity</w:t>
            </w:r>
          </w:p>
        </w:tc>
      </w:tr>
      <w:tr w:rsidR="00B60119" w14:paraId="08901141" w14:textId="77777777" w:rsidTr="00A90656">
        <w:tc>
          <w:tcPr>
            <w:tcW w:w="1502" w:type="dxa"/>
            <w:vAlign w:val="center"/>
          </w:tcPr>
          <w:p w14:paraId="255C75AE" w14:textId="77777777" w:rsidR="00B60119" w:rsidRDefault="00B60119" w:rsidP="00B60119">
            <w:r>
              <w:t>Discounting</w:t>
            </w:r>
          </w:p>
        </w:tc>
        <w:tc>
          <w:tcPr>
            <w:tcW w:w="2410" w:type="dxa"/>
            <w:vAlign w:val="center"/>
          </w:tcPr>
          <w:p w14:paraId="671B6D60" w14:textId="77777777" w:rsidR="00B60119" w:rsidRDefault="00B60119" w:rsidP="00B60119">
            <w:pPr>
              <w:pStyle w:val="Prrafodelista"/>
              <w:numPr>
                <w:ilvl w:val="0"/>
                <w:numId w:val="18"/>
              </w:numPr>
              <w:ind w:left="170" w:hanging="113"/>
            </w:pPr>
            <w:r>
              <w:t>10.5%</w:t>
            </w:r>
          </w:p>
        </w:tc>
        <w:tc>
          <w:tcPr>
            <w:tcW w:w="5019" w:type="dxa"/>
            <w:vAlign w:val="center"/>
          </w:tcPr>
          <w:p w14:paraId="223FE710" w14:textId="77777777" w:rsidR="00B60119" w:rsidRDefault="00B60119" w:rsidP="00B60119">
            <w:pPr>
              <w:pStyle w:val="Prrafodelista"/>
              <w:numPr>
                <w:ilvl w:val="0"/>
                <w:numId w:val="18"/>
              </w:numPr>
              <w:ind w:left="315" w:hanging="283"/>
            </w:pPr>
            <w:r>
              <w:t>Consistent with previous Dolon publications and published literature</w:t>
            </w:r>
            <w:r>
              <w:rPr>
                <w:rStyle w:val="Refdenotaalpie"/>
              </w:rPr>
              <w:footnoteReference w:id="57"/>
            </w:r>
            <w:r>
              <w:rPr>
                <w:vertAlign w:val="superscript"/>
              </w:rPr>
              <w:t>,</w:t>
            </w:r>
            <w:r>
              <w:rPr>
                <w:rStyle w:val="Refdenotaalpie"/>
              </w:rPr>
              <w:footnoteReference w:id="58"/>
            </w:r>
          </w:p>
        </w:tc>
      </w:tr>
    </w:tbl>
    <w:p w14:paraId="66BB183E" w14:textId="77777777" w:rsidR="00BA4054" w:rsidRDefault="00BA4054" w:rsidP="00C93DCD">
      <w:pPr>
        <w:rPr>
          <w:i/>
          <w:iCs/>
        </w:rPr>
      </w:pPr>
    </w:p>
    <w:p w14:paraId="7A97E6BC" w14:textId="3D7A2642" w:rsidR="00E63301" w:rsidRDefault="00E63301" w:rsidP="00C93DCD">
      <w:pPr>
        <w:rPr>
          <w:i/>
          <w:iCs/>
        </w:rPr>
      </w:pPr>
      <w:r>
        <w:rPr>
          <w:i/>
          <w:iCs/>
        </w:rPr>
        <w:lastRenderedPageBreak/>
        <w:t xml:space="preserve">Appendix VI. </w:t>
      </w:r>
      <w:r w:rsidR="00E82BA9" w:rsidRPr="00E82BA9">
        <w:rPr>
          <w:i/>
          <w:iCs/>
        </w:rPr>
        <w:t xml:space="preserve">Five mechanisms proposed by the Commission to lessen the environmental impact of medicinal </w:t>
      </w:r>
      <w:proofErr w:type="gramStart"/>
      <w:r w:rsidR="00E82BA9" w:rsidRPr="00E82BA9">
        <w:rPr>
          <w:i/>
          <w:iCs/>
        </w:rPr>
        <w:t>products</w:t>
      </w:r>
      <w:proofErr w:type="gramEnd"/>
    </w:p>
    <w:tbl>
      <w:tblPr>
        <w:tblStyle w:val="Tablaconcuadrcula"/>
        <w:tblW w:w="0" w:type="auto"/>
        <w:tblLook w:val="04A0" w:firstRow="1" w:lastRow="0" w:firstColumn="1" w:lastColumn="0" w:noHBand="0" w:noVBand="1"/>
      </w:tblPr>
      <w:tblGrid>
        <w:gridCol w:w="2694"/>
        <w:gridCol w:w="6237"/>
      </w:tblGrid>
      <w:tr w:rsidR="0050072B" w14:paraId="2723EBBF" w14:textId="77777777" w:rsidTr="00E974DE">
        <w:trPr>
          <w:trHeight w:val="340"/>
        </w:trPr>
        <w:tc>
          <w:tcPr>
            <w:tcW w:w="2694" w:type="dxa"/>
            <w:tcBorders>
              <w:top w:val="single" w:sz="4" w:space="0" w:color="auto"/>
              <w:left w:val="single" w:sz="4" w:space="0" w:color="auto"/>
            </w:tcBorders>
            <w:shd w:val="clear" w:color="auto" w:fill="D9D9D9" w:themeFill="background1" w:themeFillShade="D9"/>
            <w:vAlign w:val="center"/>
          </w:tcPr>
          <w:p w14:paraId="36A1ECC0" w14:textId="704FA0B9" w:rsidR="0050072B" w:rsidRPr="001B2D2F" w:rsidRDefault="00E974DE" w:rsidP="00E82BA9">
            <w:pPr>
              <w:rPr>
                <w:b/>
                <w:bCs/>
                <w:vertAlign w:val="superscript"/>
              </w:rPr>
            </w:pPr>
            <w:r>
              <w:rPr>
                <w:b/>
                <w:bCs/>
              </w:rPr>
              <w:t>Measures propose</w:t>
            </w:r>
            <w:r w:rsidR="001B2D2F">
              <w:rPr>
                <w:b/>
                <w:bCs/>
              </w:rPr>
              <w:t>d</w:t>
            </w:r>
            <w:r w:rsidR="001B2D2F">
              <w:rPr>
                <w:rStyle w:val="Refdenotaalpie"/>
                <w:b/>
                <w:bCs/>
              </w:rPr>
              <w:footnoteReference w:id="59"/>
            </w:r>
          </w:p>
        </w:tc>
        <w:tc>
          <w:tcPr>
            <w:tcW w:w="6237" w:type="dxa"/>
            <w:shd w:val="clear" w:color="auto" w:fill="D9D9D9" w:themeFill="background1" w:themeFillShade="D9"/>
            <w:vAlign w:val="center"/>
          </w:tcPr>
          <w:p w14:paraId="7D0460D5" w14:textId="752A5F9E" w:rsidR="0050072B" w:rsidRPr="0050072B" w:rsidRDefault="00B60119" w:rsidP="00E82BA9">
            <w:pPr>
              <w:rPr>
                <w:b/>
                <w:bCs/>
              </w:rPr>
            </w:pPr>
            <w:r>
              <w:rPr>
                <w:b/>
                <w:bCs/>
              </w:rPr>
              <w:t>Summary</w:t>
            </w:r>
          </w:p>
        </w:tc>
      </w:tr>
      <w:tr w:rsidR="0050072B" w14:paraId="04F59C64" w14:textId="77777777" w:rsidTr="006841B2">
        <w:tc>
          <w:tcPr>
            <w:tcW w:w="2694" w:type="dxa"/>
            <w:shd w:val="clear" w:color="auto" w:fill="FFFFFF" w:themeFill="background1"/>
            <w:vAlign w:val="center"/>
          </w:tcPr>
          <w:p w14:paraId="2817B9CF" w14:textId="4B8EAC13" w:rsidR="0050072B" w:rsidRPr="0050072B" w:rsidRDefault="0050072B" w:rsidP="0050072B">
            <w:r w:rsidRPr="0050072B">
              <w:t xml:space="preserve">Possibility of refusal of </w:t>
            </w:r>
            <w:r w:rsidR="00E4614A">
              <w:t>marketing authorisation</w:t>
            </w:r>
            <w:r w:rsidRPr="0050072B">
              <w:t xml:space="preserve"> on environmental grounds </w:t>
            </w:r>
            <w:r w:rsidRPr="0050072B">
              <w:rPr>
                <w:i/>
                <w:iCs/>
              </w:rPr>
              <w:t>(Articles 47, 195, 196)</w:t>
            </w:r>
          </w:p>
        </w:tc>
        <w:tc>
          <w:tcPr>
            <w:tcW w:w="6237" w:type="dxa"/>
            <w:vAlign w:val="center"/>
          </w:tcPr>
          <w:p w14:paraId="313FEF40" w14:textId="4317D146" w:rsidR="0050072B" w:rsidRDefault="0050072B" w:rsidP="0050072B">
            <w:r>
              <w:t xml:space="preserve">Introduction of possibility to refuse, suspend, revoke, prohibit supply or withdraw a </w:t>
            </w:r>
            <w:r w:rsidR="00E4614A">
              <w:t>marketing authorisation</w:t>
            </w:r>
            <w:r>
              <w:t xml:space="preserve"> on environmental ground (e.g., if ERA is incomplete is incomplete/ insufficiently substantiated, or if risks identified have not been sufficiently addressed</w:t>
            </w:r>
          </w:p>
        </w:tc>
      </w:tr>
      <w:tr w:rsidR="0050072B" w14:paraId="02FA6D2A" w14:textId="77777777" w:rsidTr="006841B2">
        <w:tc>
          <w:tcPr>
            <w:tcW w:w="2694" w:type="dxa"/>
            <w:shd w:val="clear" w:color="auto" w:fill="FFFFFF" w:themeFill="background1"/>
            <w:vAlign w:val="center"/>
          </w:tcPr>
          <w:p w14:paraId="5D7D5E80" w14:textId="51F338A0" w:rsidR="0050072B" w:rsidRPr="0050072B" w:rsidRDefault="0050072B" w:rsidP="0050072B">
            <w:pPr>
              <w:rPr>
                <w:i/>
                <w:iCs/>
              </w:rPr>
            </w:pPr>
            <w:r w:rsidRPr="0050072B">
              <w:t xml:space="preserve">Introduction of manufacturing covered in the ERA for antimicrobials </w:t>
            </w:r>
            <w:r w:rsidRPr="0050072B">
              <w:rPr>
                <w:i/>
                <w:iCs/>
              </w:rPr>
              <w:t>(Recital 72, Article 22)</w:t>
            </w:r>
          </w:p>
        </w:tc>
        <w:tc>
          <w:tcPr>
            <w:tcW w:w="6237" w:type="dxa"/>
            <w:vAlign w:val="center"/>
          </w:tcPr>
          <w:p w14:paraId="2D9F3ADA" w14:textId="2F2F097D" w:rsidR="0050072B" w:rsidRDefault="0050072B" w:rsidP="0050072B">
            <w:r>
              <w:t>ERA scope extended to cover risk of AMR selection during entire lifecycle of antimicrobials, including manufacturing inside and outside the EU</w:t>
            </w:r>
          </w:p>
        </w:tc>
      </w:tr>
      <w:tr w:rsidR="0050072B" w14:paraId="368A35D0" w14:textId="77777777" w:rsidTr="006841B2">
        <w:tc>
          <w:tcPr>
            <w:tcW w:w="2694" w:type="dxa"/>
            <w:shd w:val="clear" w:color="auto" w:fill="FFFFFF" w:themeFill="background1"/>
            <w:vAlign w:val="center"/>
          </w:tcPr>
          <w:p w14:paraId="5C3AA359" w14:textId="1C7CB451" w:rsidR="0050072B" w:rsidRPr="0050072B" w:rsidRDefault="0050072B" w:rsidP="00E82BA9">
            <w:pPr>
              <w:rPr>
                <w:i/>
                <w:iCs/>
              </w:rPr>
            </w:pPr>
            <w:r w:rsidRPr="0050072B">
              <w:t xml:space="preserve">Introduction of ERA for legacy APIs </w:t>
            </w:r>
            <w:r w:rsidRPr="0050072B">
              <w:rPr>
                <w:i/>
                <w:iCs/>
              </w:rPr>
              <w:t>(Recital 71, 72, Article 23)</w:t>
            </w:r>
          </w:p>
        </w:tc>
        <w:tc>
          <w:tcPr>
            <w:tcW w:w="6237" w:type="dxa"/>
            <w:vAlign w:val="center"/>
          </w:tcPr>
          <w:p w14:paraId="509964ED" w14:textId="2728A637" w:rsidR="0050072B" w:rsidRDefault="0050072B" w:rsidP="0050072B">
            <w:r>
              <w:t>Requirement for medicines authorised before October 2005 to complete an ERA; prioritisation of medicines using a risk-based approach</w:t>
            </w:r>
          </w:p>
        </w:tc>
      </w:tr>
      <w:tr w:rsidR="0050072B" w14:paraId="570DA272" w14:textId="77777777" w:rsidTr="006841B2">
        <w:tc>
          <w:tcPr>
            <w:tcW w:w="2694" w:type="dxa"/>
            <w:shd w:val="clear" w:color="auto" w:fill="FFFFFF" w:themeFill="background1"/>
            <w:vAlign w:val="center"/>
          </w:tcPr>
          <w:p w14:paraId="6F3F2ECC" w14:textId="3D65260C" w:rsidR="0050072B" w:rsidRPr="0050072B" w:rsidRDefault="0050072B" w:rsidP="00E82BA9">
            <w:r w:rsidRPr="0050072B">
              <w:t xml:space="preserve">Increased interlinkages with other environmental legislation </w:t>
            </w:r>
            <w:r w:rsidRPr="0050072B">
              <w:rPr>
                <w:i/>
                <w:iCs/>
              </w:rPr>
              <w:t>(Recital 69, 71, Articles 22, 23)</w:t>
            </w:r>
          </w:p>
        </w:tc>
        <w:tc>
          <w:tcPr>
            <w:tcW w:w="6237" w:type="dxa"/>
            <w:vAlign w:val="center"/>
          </w:tcPr>
          <w:p w14:paraId="65F337D3" w14:textId="39947130" w:rsidR="0050072B" w:rsidRDefault="0050072B" w:rsidP="0050072B">
            <w:r>
              <w:t>Need for applicants to consider environmental procedures of other EU legal frameworks that may apply to medicines</w:t>
            </w:r>
          </w:p>
        </w:tc>
      </w:tr>
      <w:tr w:rsidR="0050072B" w14:paraId="0018F024" w14:textId="77777777" w:rsidTr="006841B2">
        <w:tc>
          <w:tcPr>
            <w:tcW w:w="2694" w:type="dxa"/>
            <w:shd w:val="clear" w:color="auto" w:fill="FFFFFF" w:themeFill="background1"/>
            <w:vAlign w:val="center"/>
          </w:tcPr>
          <w:p w14:paraId="411DC309" w14:textId="6EB83623" w:rsidR="0050072B" w:rsidRPr="0050072B" w:rsidRDefault="0050072B" w:rsidP="00E82BA9">
            <w:pPr>
              <w:rPr>
                <w:i/>
                <w:iCs/>
              </w:rPr>
            </w:pPr>
            <w:r w:rsidRPr="0050072B">
              <w:t xml:space="preserve">Medicinal products with environmental concerns subject to medical prescription </w:t>
            </w:r>
            <w:r w:rsidRPr="0050072B">
              <w:rPr>
                <w:i/>
                <w:iCs/>
              </w:rPr>
              <w:t>(Article 51)</w:t>
            </w:r>
          </w:p>
        </w:tc>
        <w:tc>
          <w:tcPr>
            <w:tcW w:w="6237" w:type="dxa"/>
            <w:vAlign w:val="center"/>
          </w:tcPr>
          <w:p w14:paraId="2DCFFF05" w14:textId="4504E470" w:rsidR="0050072B" w:rsidRDefault="0050072B" w:rsidP="0050072B">
            <w:r>
              <w:t xml:space="preserve">Subjection of medicinal products to medicinal prescription if they are an antimicrobial or contains an active substance which is persistent, </w:t>
            </w:r>
            <w:proofErr w:type="spellStart"/>
            <w:r>
              <w:t>bioaccumulative</w:t>
            </w:r>
            <w:proofErr w:type="spellEnd"/>
            <w:r>
              <w:t xml:space="preserve"> and toxic</w:t>
            </w:r>
            <w:r w:rsidR="00E974DE">
              <w:t xml:space="preserve"> (PBT)</w:t>
            </w:r>
            <w:r>
              <w:t xml:space="preserve">; very persistent and very </w:t>
            </w:r>
            <w:proofErr w:type="spellStart"/>
            <w:r>
              <w:t>bioaccumulative</w:t>
            </w:r>
            <w:proofErr w:type="spellEnd"/>
            <w:r w:rsidR="00E974DE">
              <w:t xml:space="preserve"> (</w:t>
            </w:r>
            <w:proofErr w:type="spellStart"/>
            <w:r w:rsidR="00E974DE">
              <w:t>vPvB</w:t>
            </w:r>
            <w:proofErr w:type="spellEnd"/>
            <w:r w:rsidR="00E974DE">
              <w:t>)</w:t>
            </w:r>
            <w:r>
              <w:t xml:space="preserve">; persistent, </w:t>
            </w:r>
            <w:proofErr w:type="gramStart"/>
            <w:r>
              <w:t>mobile</w:t>
            </w:r>
            <w:proofErr w:type="gramEnd"/>
            <w:r>
              <w:t xml:space="preserve"> and toxic</w:t>
            </w:r>
            <w:r w:rsidR="00E974DE">
              <w:t xml:space="preserve"> (PMT)</w:t>
            </w:r>
            <w:r>
              <w:t>; or very persistent and very mobile</w:t>
            </w:r>
            <w:r w:rsidR="00E974DE">
              <w:t xml:space="preserve"> (</w:t>
            </w:r>
            <w:proofErr w:type="spellStart"/>
            <w:r w:rsidR="00E974DE">
              <w:t>vPvM</w:t>
            </w:r>
            <w:proofErr w:type="spellEnd"/>
            <w:r w:rsidR="00E974DE">
              <w:t>)</w:t>
            </w:r>
          </w:p>
        </w:tc>
      </w:tr>
    </w:tbl>
    <w:p w14:paraId="391552ED" w14:textId="77777777" w:rsidR="00E63301" w:rsidRDefault="00E63301" w:rsidP="00C93DCD"/>
    <w:p w14:paraId="1D99C7E9" w14:textId="592B5D0E" w:rsidR="0050072B" w:rsidRDefault="0050072B" w:rsidP="00C93DCD">
      <w:pPr>
        <w:rPr>
          <w:i/>
          <w:iCs/>
        </w:rPr>
      </w:pPr>
      <w:r>
        <w:rPr>
          <w:i/>
          <w:iCs/>
        </w:rPr>
        <w:t>Appendix VII. Increased interlinkages with non-pharmaceutical legislations</w:t>
      </w:r>
    </w:p>
    <w:tbl>
      <w:tblPr>
        <w:tblStyle w:val="Tablaconcuadrcula"/>
        <w:tblW w:w="0" w:type="auto"/>
        <w:tblLook w:val="04A0" w:firstRow="1" w:lastRow="0" w:firstColumn="1" w:lastColumn="0" w:noHBand="0" w:noVBand="1"/>
      </w:tblPr>
      <w:tblGrid>
        <w:gridCol w:w="2694"/>
        <w:gridCol w:w="6237"/>
      </w:tblGrid>
      <w:tr w:rsidR="0050072B" w14:paraId="008D3230" w14:textId="77777777" w:rsidTr="00E974DE">
        <w:trPr>
          <w:trHeight w:val="340"/>
        </w:trPr>
        <w:tc>
          <w:tcPr>
            <w:tcW w:w="2694" w:type="dxa"/>
            <w:tcBorders>
              <w:top w:val="single" w:sz="4" w:space="0" w:color="auto"/>
              <w:left w:val="single" w:sz="4" w:space="0" w:color="auto"/>
            </w:tcBorders>
            <w:shd w:val="clear" w:color="auto" w:fill="D9D9D9" w:themeFill="background1" w:themeFillShade="D9"/>
            <w:vAlign w:val="center"/>
          </w:tcPr>
          <w:p w14:paraId="66860985" w14:textId="401194E9" w:rsidR="0050072B" w:rsidRPr="00E974DE" w:rsidRDefault="00E974DE" w:rsidP="00A90656">
            <w:pPr>
              <w:rPr>
                <w:b/>
                <w:bCs/>
              </w:rPr>
            </w:pPr>
            <w:r w:rsidRPr="00E974DE">
              <w:rPr>
                <w:b/>
                <w:bCs/>
              </w:rPr>
              <w:t>Measures proposed</w:t>
            </w:r>
          </w:p>
        </w:tc>
        <w:tc>
          <w:tcPr>
            <w:tcW w:w="6237" w:type="dxa"/>
            <w:shd w:val="clear" w:color="auto" w:fill="D9D9D9" w:themeFill="background1" w:themeFillShade="D9"/>
            <w:vAlign w:val="center"/>
          </w:tcPr>
          <w:p w14:paraId="3F281A7E" w14:textId="51997557" w:rsidR="0050072B" w:rsidRPr="0050072B" w:rsidRDefault="00E974DE" w:rsidP="00A90656">
            <w:pPr>
              <w:rPr>
                <w:b/>
                <w:bCs/>
              </w:rPr>
            </w:pPr>
            <w:r>
              <w:rPr>
                <w:b/>
                <w:bCs/>
              </w:rPr>
              <w:t>Details</w:t>
            </w:r>
          </w:p>
        </w:tc>
      </w:tr>
      <w:tr w:rsidR="00E974DE" w14:paraId="63C8F4C8" w14:textId="77777777" w:rsidTr="00E974DE">
        <w:trPr>
          <w:trHeight w:val="340"/>
        </w:trPr>
        <w:tc>
          <w:tcPr>
            <w:tcW w:w="8931" w:type="dxa"/>
            <w:gridSpan w:val="2"/>
            <w:shd w:val="clear" w:color="auto" w:fill="F2F2F2" w:themeFill="background1" w:themeFillShade="F2"/>
            <w:vAlign w:val="center"/>
          </w:tcPr>
          <w:p w14:paraId="146E3A8D" w14:textId="0C50F745" w:rsidR="00E974DE" w:rsidRPr="00E974DE" w:rsidRDefault="00E974DE" w:rsidP="00A90656">
            <w:pPr>
              <w:rPr>
                <w:i/>
                <w:iCs/>
              </w:rPr>
            </w:pPr>
            <w:r>
              <w:rPr>
                <w:i/>
                <w:iCs/>
              </w:rPr>
              <w:t>European Chemicals Agency’s EU Chemicals Strategy for Sustainability</w:t>
            </w:r>
          </w:p>
        </w:tc>
      </w:tr>
      <w:tr w:rsidR="0050072B" w14:paraId="6227EF7F" w14:textId="77777777" w:rsidTr="00810EB8">
        <w:tc>
          <w:tcPr>
            <w:tcW w:w="2694" w:type="dxa"/>
            <w:shd w:val="clear" w:color="auto" w:fill="FFFFFF" w:themeFill="background1"/>
            <w:vAlign w:val="center"/>
          </w:tcPr>
          <w:p w14:paraId="43CB09D1" w14:textId="22FEBBDE" w:rsidR="0050072B" w:rsidRPr="0050072B" w:rsidRDefault="0050072B" w:rsidP="00A90656">
            <w:r>
              <w:t>One substance, one assessment</w:t>
            </w:r>
            <w:r w:rsidR="00810EB8">
              <w:rPr>
                <w:rStyle w:val="Refdenotaalpie"/>
              </w:rPr>
              <w:footnoteReference w:id="60"/>
            </w:r>
            <w:r>
              <w:t xml:space="preserve"> </w:t>
            </w:r>
          </w:p>
        </w:tc>
        <w:tc>
          <w:tcPr>
            <w:tcW w:w="6237" w:type="dxa"/>
            <w:vAlign w:val="center"/>
          </w:tcPr>
          <w:p w14:paraId="5F448179" w14:textId="29A64227" w:rsidR="0050072B" w:rsidRDefault="00E974DE" w:rsidP="00A90656">
            <w:r>
              <w:t>Risk assessment and risk management of the same chemical to be consistent across all sectors, despite different uses, levels of exposure and benefit-risk evaluation in different sectors</w:t>
            </w:r>
          </w:p>
        </w:tc>
      </w:tr>
      <w:tr w:rsidR="00E974DE" w14:paraId="5E8AA583" w14:textId="77777777" w:rsidTr="00810EB8">
        <w:tc>
          <w:tcPr>
            <w:tcW w:w="2694" w:type="dxa"/>
            <w:shd w:val="clear" w:color="auto" w:fill="FFFFFF" w:themeFill="background1"/>
            <w:vAlign w:val="center"/>
          </w:tcPr>
          <w:p w14:paraId="23A9E3A7" w14:textId="5A08EA49" w:rsidR="00E974DE" w:rsidRPr="00E974DE" w:rsidRDefault="00E974DE" w:rsidP="00A90656">
            <w:pPr>
              <w:rPr>
                <w:i/>
                <w:iCs/>
              </w:rPr>
            </w:pPr>
            <w:r>
              <w:t>Per- and polyfluoroalkyl substances (PFAS)</w:t>
            </w:r>
            <w:r w:rsidR="001B2D2F">
              <w:rPr>
                <w:rStyle w:val="Refdenotaalpie"/>
              </w:rPr>
              <w:footnoteReference w:id="61"/>
            </w:r>
            <w:r>
              <w:t xml:space="preserve"> </w:t>
            </w:r>
          </w:p>
        </w:tc>
        <w:tc>
          <w:tcPr>
            <w:tcW w:w="6237" w:type="dxa"/>
            <w:vAlign w:val="center"/>
          </w:tcPr>
          <w:p w14:paraId="478F4659" w14:textId="24055C6C" w:rsidR="00E974DE" w:rsidRDefault="00E974DE" w:rsidP="00A90656">
            <w:r>
              <w:t xml:space="preserve">Ban of all PFAS, </w:t>
            </w:r>
            <w:proofErr w:type="gramStart"/>
            <w:r>
              <w:t>with the exception of</w:t>
            </w:r>
            <w:proofErr w:type="gramEnd"/>
            <w:r>
              <w:t xml:space="preserve"> APIs, with a very broad definition of PFAS</w:t>
            </w:r>
          </w:p>
        </w:tc>
      </w:tr>
      <w:tr w:rsidR="00E974DE" w14:paraId="14EC1051" w14:textId="77777777" w:rsidTr="00810EB8">
        <w:tc>
          <w:tcPr>
            <w:tcW w:w="2694" w:type="dxa"/>
            <w:shd w:val="clear" w:color="auto" w:fill="FFFFFF" w:themeFill="background1"/>
            <w:vAlign w:val="center"/>
          </w:tcPr>
          <w:p w14:paraId="2BEF6655" w14:textId="379DBDBE" w:rsidR="00E974DE" w:rsidRDefault="00E974DE" w:rsidP="00A90656">
            <w:r>
              <w:t>REACH legislation revision</w:t>
            </w:r>
            <w:r w:rsidR="001B2D2F">
              <w:rPr>
                <w:rStyle w:val="Refdenotaalpie"/>
              </w:rPr>
              <w:footnoteReference w:id="62"/>
            </w:r>
          </w:p>
        </w:tc>
        <w:tc>
          <w:tcPr>
            <w:tcW w:w="6237" w:type="dxa"/>
            <w:vAlign w:val="center"/>
          </w:tcPr>
          <w:p w14:paraId="1A3596EF" w14:textId="78B6A357" w:rsidR="00E974DE" w:rsidRDefault="00E974DE" w:rsidP="00A90656">
            <w:r>
              <w:t>Additional obligations and restrictions in REACH processes; treatment of severe health issues to fulfil criteria for essential use of chemicals, but treatment of non-severe health issues will not be deemed essential</w:t>
            </w:r>
          </w:p>
        </w:tc>
      </w:tr>
      <w:tr w:rsidR="00E974DE" w14:paraId="0D9381CC" w14:textId="77777777" w:rsidTr="00810EB8">
        <w:tc>
          <w:tcPr>
            <w:tcW w:w="2694" w:type="dxa"/>
            <w:shd w:val="clear" w:color="auto" w:fill="FFFFFF" w:themeFill="background1"/>
            <w:vAlign w:val="center"/>
          </w:tcPr>
          <w:p w14:paraId="0ACB0506" w14:textId="0873FA3A" w:rsidR="00E974DE" w:rsidRDefault="00E974DE" w:rsidP="00A90656">
            <w:r>
              <w:t>Classification, labelling and packaging of chemicals</w:t>
            </w:r>
            <w:r w:rsidR="001B2D2F">
              <w:rPr>
                <w:rStyle w:val="Refdenotaalpie"/>
              </w:rPr>
              <w:footnoteReference w:id="63"/>
            </w:r>
          </w:p>
        </w:tc>
        <w:tc>
          <w:tcPr>
            <w:tcW w:w="6237" w:type="dxa"/>
            <w:vAlign w:val="center"/>
          </w:tcPr>
          <w:p w14:paraId="298C7C91" w14:textId="40EF90A4" w:rsidR="00E974DE" w:rsidRDefault="00E974DE" w:rsidP="00A90656">
            <w:r>
              <w:t>Revision of Regulation and introduction of new hazard classes for endocrine disruptors and PBT/</w:t>
            </w:r>
            <w:proofErr w:type="spellStart"/>
            <w:r>
              <w:t>vPvB</w:t>
            </w:r>
            <w:proofErr w:type="spellEnd"/>
            <w:r>
              <w:t xml:space="preserve"> or PMT/</w:t>
            </w:r>
            <w:proofErr w:type="spellStart"/>
            <w:r>
              <w:t>vPvM</w:t>
            </w:r>
            <w:proofErr w:type="spellEnd"/>
            <w:r>
              <w:t xml:space="preserve"> chemicals</w:t>
            </w:r>
          </w:p>
        </w:tc>
      </w:tr>
      <w:tr w:rsidR="00E974DE" w14:paraId="711FC174" w14:textId="77777777" w:rsidTr="00810EB8">
        <w:tc>
          <w:tcPr>
            <w:tcW w:w="2694" w:type="dxa"/>
            <w:shd w:val="clear" w:color="auto" w:fill="FFFFFF" w:themeFill="background1"/>
            <w:vAlign w:val="center"/>
          </w:tcPr>
          <w:p w14:paraId="240A0B1F" w14:textId="4F1D8853" w:rsidR="00E974DE" w:rsidRPr="0019214F" w:rsidRDefault="00E974DE" w:rsidP="00A90656">
            <w:pPr>
              <w:rPr>
                <w:lang w:val="fr-FR"/>
              </w:rPr>
            </w:pPr>
            <w:proofErr w:type="spellStart"/>
            <w:r w:rsidRPr="0019214F">
              <w:rPr>
                <w:lang w:val="fr-FR"/>
              </w:rPr>
              <w:lastRenderedPageBreak/>
              <w:t>Regulation</w:t>
            </w:r>
            <w:proofErr w:type="spellEnd"/>
            <w:r w:rsidRPr="0019214F">
              <w:rPr>
                <w:lang w:val="fr-FR"/>
              </w:rPr>
              <w:t xml:space="preserve"> on </w:t>
            </w:r>
            <w:proofErr w:type="spellStart"/>
            <w:r w:rsidRPr="0019214F">
              <w:rPr>
                <w:lang w:val="fr-FR"/>
              </w:rPr>
              <w:t>synthetic</w:t>
            </w:r>
            <w:proofErr w:type="spellEnd"/>
            <w:r w:rsidRPr="0019214F">
              <w:rPr>
                <w:lang w:val="fr-FR"/>
              </w:rPr>
              <w:t xml:space="preserve"> </w:t>
            </w:r>
            <w:proofErr w:type="spellStart"/>
            <w:r w:rsidRPr="0019214F">
              <w:rPr>
                <w:lang w:val="fr-FR"/>
              </w:rPr>
              <w:t>polymer</w:t>
            </w:r>
            <w:proofErr w:type="spellEnd"/>
            <w:r w:rsidRPr="0019214F">
              <w:rPr>
                <w:lang w:val="fr-FR"/>
              </w:rPr>
              <w:t xml:space="preserve"> </w:t>
            </w:r>
            <w:proofErr w:type="spellStart"/>
            <w:r w:rsidRPr="0019214F">
              <w:rPr>
                <w:lang w:val="fr-FR"/>
              </w:rPr>
              <w:t>microparticles</w:t>
            </w:r>
            <w:proofErr w:type="spellEnd"/>
            <w:r w:rsidR="001B2D2F">
              <w:rPr>
                <w:rStyle w:val="Refdenotaalpie"/>
              </w:rPr>
              <w:footnoteReference w:id="64"/>
            </w:r>
          </w:p>
        </w:tc>
        <w:tc>
          <w:tcPr>
            <w:tcW w:w="6237" w:type="dxa"/>
            <w:vAlign w:val="center"/>
          </w:tcPr>
          <w:p w14:paraId="3059690C" w14:textId="49D5AF26" w:rsidR="00E974DE" w:rsidRDefault="00E974DE" w:rsidP="00A90656">
            <w:r>
              <w:t>Medicines exempt from the broadening ban on microplastics, but requirement to report usage of a broader category of microplastics, including synthetic polymer microparticles</w:t>
            </w:r>
          </w:p>
        </w:tc>
      </w:tr>
      <w:tr w:rsidR="00E974DE" w14:paraId="3CC08D62" w14:textId="77777777" w:rsidTr="006C7F1F">
        <w:tc>
          <w:tcPr>
            <w:tcW w:w="8931" w:type="dxa"/>
            <w:gridSpan w:val="2"/>
            <w:shd w:val="clear" w:color="auto" w:fill="F2F2F2" w:themeFill="background1" w:themeFillShade="F2"/>
            <w:vAlign w:val="center"/>
          </w:tcPr>
          <w:p w14:paraId="303D5A5E" w14:textId="7C3DFFDD" w:rsidR="00E974DE" w:rsidRPr="00E974DE" w:rsidRDefault="00E974DE" w:rsidP="00A90656">
            <w:pPr>
              <w:rPr>
                <w:i/>
                <w:iCs/>
              </w:rPr>
            </w:pPr>
            <w:r w:rsidRPr="00E974DE">
              <w:rPr>
                <w:i/>
                <w:iCs/>
              </w:rPr>
              <w:t xml:space="preserve">European Food Safety Authority Opinions </w:t>
            </w:r>
          </w:p>
        </w:tc>
      </w:tr>
      <w:tr w:rsidR="00E974DE" w14:paraId="23C3D8F5" w14:textId="77777777" w:rsidTr="00810EB8">
        <w:tc>
          <w:tcPr>
            <w:tcW w:w="2694" w:type="dxa"/>
            <w:shd w:val="clear" w:color="auto" w:fill="FFFFFF" w:themeFill="background1"/>
            <w:vAlign w:val="center"/>
          </w:tcPr>
          <w:p w14:paraId="590AE5C8" w14:textId="219659DE" w:rsidR="00E974DE" w:rsidRDefault="00E974DE" w:rsidP="00A90656">
            <w:r>
              <w:t>Titanium dioxide (TiO2)</w:t>
            </w:r>
            <w:r w:rsidR="006841B2">
              <w:rPr>
                <w:rStyle w:val="Refdenotaalpie"/>
              </w:rPr>
              <w:footnoteReference w:id="65"/>
            </w:r>
          </w:p>
        </w:tc>
        <w:tc>
          <w:tcPr>
            <w:tcW w:w="6237" w:type="dxa"/>
            <w:vAlign w:val="center"/>
          </w:tcPr>
          <w:p w14:paraId="121DFEC7" w14:textId="2A030436" w:rsidR="00E974DE" w:rsidRDefault="00E974DE" w:rsidP="00A90656">
            <w:r>
              <w:t>Use of TiO2 banned in food, which affect oral medicines; Commission to review potential alternatives in Feb 2025</w:t>
            </w:r>
          </w:p>
        </w:tc>
      </w:tr>
      <w:tr w:rsidR="00E974DE" w14:paraId="248DA928" w14:textId="77777777" w:rsidTr="00810EB8">
        <w:tc>
          <w:tcPr>
            <w:tcW w:w="2694" w:type="dxa"/>
            <w:shd w:val="clear" w:color="auto" w:fill="FFFFFF" w:themeFill="background1"/>
            <w:vAlign w:val="center"/>
          </w:tcPr>
          <w:p w14:paraId="2BD2E126" w14:textId="5E92BC19" w:rsidR="00E974DE" w:rsidRDefault="00810EB8" w:rsidP="00A90656">
            <w:r>
              <w:t>N-nitrosamines impurities</w:t>
            </w:r>
            <w:r w:rsidR="006841B2">
              <w:rPr>
                <w:rStyle w:val="Refdenotaalpie"/>
              </w:rPr>
              <w:footnoteReference w:id="66"/>
            </w:r>
          </w:p>
        </w:tc>
        <w:tc>
          <w:tcPr>
            <w:tcW w:w="6237" w:type="dxa"/>
            <w:vAlign w:val="center"/>
          </w:tcPr>
          <w:p w14:paraId="5414299F" w14:textId="374E9839" w:rsidR="00E974DE" w:rsidRDefault="00810EB8" w:rsidP="00A90656">
            <w:r>
              <w:t>EMA to request more supporting safety science for Nitroso Drug Substances Related Impurities (NDSRIs) to confirm lower safety risk</w:t>
            </w:r>
          </w:p>
        </w:tc>
      </w:tr>
      <w:tr w:rsidR="00810EB8" w14:paraId="0AFE706B" w14:textId="77777777" w:rsidTr="002E7D8A">
        <w:tc>
          <w:tcPr>
            <w:tcW w:w="8931" w:type="dxa"/>
            <w:gridSpan w:val="2"/>
            <w:shd w:val="clear" w:color="auto" w:fill="F2F2F2" w:themeFill="background1" w:themeFillShade="F2"/>
            <w:vAlign w:val="center"/>
          </w:tcPr>
          <w:p w14:paraId="49422E7E" w14:textId="7625A548" w:rsidR="00810EB8" w:rsidRPr="00810EB8" w:rsidRDefault="00810EB8" w:rsidP="00A90656">
            <w:pPr>
              <w:rPr>
                <w:i/>
                <w:iCs/>
              </w:rPr>
            </w:pPr>
            <w:r>
              <w:rPr>
                <w:i/>
                <w:iCs/>
              </w:rPr>
              <w:t>Zero Pollution package</w:t>
            </w:r>
          </w:p>
        </w:tc>
      </w:tr>
      <w:tr w:rsidR="00E974DE" w14:paraId="75AC40D9" w14:textId="77777777" w:rsidTr="00810EB8">
        <w:tc>
          <w:tcPr>
            <w:tcW w:w="2694" w:type="dxa"/>
            <w:shd w:val="clear" w:color="auto" w:fill="FFFFFF" w:themeFill="background1"/>
            <w:vAlign w:val="center"/>
          </w:tcPr>
          <w:p w14:paraId="218A186D" w14:textId="3DAB07C7" w:rsidR="00E974DE" w:rsidRDefault="00810EB8" w:rsidP="00A90656">
            <w:r>
              <w:t>Urban wastewater treatment directive (UWWT)</w:t>
            </w:r>
            <w:r w:rsidR="006841B2">
              <w:rPr>
                <w:rStyle w:val="Refdenotaalpie"/>
              </w:rPr>
              <w:footnoteReference w:id="67"/>
            </w:r>
          </w:p>
        </w:tc>
        <w:tc>
          <w:tcPr>
            <w:tcW w:w="6237" w:type="dxa"/>
            <w:vAlign w:val="center"/>
          </w:tcPr>
          <w:p w14:paraId="49D7C4F8" w14:textId="48D34B4F" w:rsidR="00E974DE" w:rsidRDefault="00810EB8" w:rsidP="00A90656">
            <w:r>
              <w:t>Extended producer responsibility specifically for the pharmaceutical sector (e.g., ‘polluter pays principle’)</w:t>
            </w:r>
          </w:p>
        </w:tc>
      </w:tr>
      <w:tr w:rsidR="00E974DE" w14:paraId="136D153B" w14:textId="77777777" w:rsidTr="00810EB8">
        <w:tc>
          <w:tcPr>
            <w:tcW w:w="2694" w:type="dxa"/>
            <w:shd w:val="clear" w:color="auto" w:fill="FFFFFF" w:themeFill="background1"/>
            <w:vAlign w:val="center"/>
          </w:tcPr>
          <w:p w14:paraId="04B63359" w14:textId="77D76C18" w:rsidR="00E974DE" w:rsidRDefault="00810EB8" w:rsidP="00A90656">
            <w:r>
              <w:t>Proposal on protection of surface and groundwater against new pollutants</w:t>
            </w:r>
            <w:r w:rsidR="00133E66">
              <w:rPr>
                <w:rStyle w:val="Refdenotaalpie"/>
              </w:rPr>
              <w:footnoteReference w:id="68"/>
            </w:r>
          </w:p>
        </w:tc>
        <w:tc>
          <w:tcPr>
            <w:tcW w:w="6237" w:type="dxa"/>
            <w:vAlign w:val="center"/>
          </w:tcPr>
          <w:p w14:paraId="5CDC887D" w14:textId="08BD26FF" w:rsidR="00E974DE" w:rsidRDefault="00810EB8" w:rsidP="00A90656">
            <w:r>
              <w:t xml:space="preserve">Updated list of water pollutants to include pain medicines, </w:t>
            </w:r>
            <w:proofErr w:type="gramStart"/>
            <w:r>
              <w:t>antimicrobials</w:t>
            </w:r>
            <w:proofErr w:type="gramEnd"/>
            <w:r>
              <w:t xml:space="preserve"> and hormones; all APIs included and closely monitored</w:t>
            </w:r>
          </w:p>
        </w:tc>
      </w:tr>
      <w:tr w:rsidR="00810EB8" w14:paraId="44910B51" w14:textId="77777777" w:rsidTr="00385988">
        <w:tc>
          <w:tcPr>
            <w:tcW w:w="8931" w:type="dxa"/>
            <w:gridSpan w:val="2"/>
            <w:shd w:val="clear" w:color="auto" w:fill="F2F2F2" w:themeFill="background1" w:themeFillShade="F2"/>
            <w:vAlign w:val="center"/>
          </w:tcPr>
          <w:p w14:paraId="67410606" w14:textId="0089EFC7" w:rsidR="00810EB8" w:rsidRPr="00810EB8" w:rsidRDefault="00810EB8" w:rsidP="00A90656">
            <w:pPr>
              <w:rPr>
                <w:i/>
                <w:iCs/>
              </w:rPr>
            </w:pPr>
            <w:r>
              <w:rPr>
                <w:i/>
                <w:iCs/>
              </w:rPr>
              <w:t>Other</w:t>
            </w:r>
          </w:p>
        </w:tc>
      </w:tr>
      <w:tr w:rsidR="00E974DE" w14:paraId="0E7845FF" w14:textId="77777777" w:rsidTr="00810EB8">
        <w:tc>
          <w:tcPr>
            <w:tcW w:w="2694" w:type="dxa"/>
            <w:shd w:val="clear" w:color="auto" w:fill="FFFFFF" w:themeFill="background1"/>
            <w:vAlign w:val="center"/>
          </w:tcPr>
          <w:p w14:paraId="74084222" w14:textId="4A70F6AB" w:rsidR="00E974DE" w:rsidRDefault="00810EB8" w:rsidP="00A90656">
            <w:r>
              <w:t>Packaging and packaging waste directive</w:t>
            </w:r>
            <w:r w:rsidR="00133E66">
              <w:rPr>
                <w:rStyle w:val="Refdenotaalpie"/>
              </w:rPr>
              <w:footnoteReference w:id="69"/>
            </w:r>
          </w:p>
        </w:tc>
        <w:tc>
          <w:tcPr>
            <w:tcW w:w="6237" w:type="dxa"/>
            <w:vAlign w:val="center"/>
          </w:tcPr>
          <w:p w14:paraId="7BDDFE78" w14:textId="3B658957" w:rsidR="00E974DE" w:rsidRDefault="00810EB8" w:rsidP="00A90656">
            <w:r>
              <w:t>Future requirement for recyclability of primary and secondary packaging; immediate removal of certain medicines if they do not comply to recyclability criteria by 2035</w:t>
            </w:r>
          </w:p>
        </w:tc>
      </w:tr>
      <w:tr w:rsidR="00810EB8" w14:paraId="7451AE11" w14:textId="77777777" w:rsidTr="00810EB8">
        <w:tc>
          <w:tcPr>
            <w:tcW w:w="2694" w:type="dxa"/>
            <w:shd w:val="clear" w:color="auto" w:fill="FFFFFF" w:themeFill="background1"/>
            <w:vAlign w:val="center"/>
          </w:tcPr>
          <w:p w14:paraId="20199848" w14:textId="67BDBA1C" w:rsidR="00810EB8" w:rsidRDefault="00810EB8" w:rsidP="00A90656">
            <w:r>
              <w:t>Corporate Sustainability Reporting Directive</w:t>
            </w:r>
            <w:r w:rsidR="00133E66">
              <w:rPr>
                <w:rStyle w:val="Refdenotaalpie"/>
              </w:rPr>
              <w:footnoteReference w:id="70"/>
            </w:r>
          </w:p>
        </w:tc>
        <w:tc>
          <w:tcPr>
            <w:tcW w:w="6237" w:type="dxa"/>
            <w:vAlign w:val="center"/>
          </w:tcPr>
          <w:p w14:paraId="10F3CED0" w14:textId="60B5A197" w:rsidR="00810EB8" w:rsidRDefault="00810EB8" w:rsidP="00A90656">
            <w:r>
              <w:t>Mandatory reporting, with sector specific reporting standards</w:t>
            </w:r>
          </w:p>
        </w:tc>
      </w:tr>
      <w:tr w:rsidR="00810EB8" w14:paraId="6AB44716" w14:textId="77777777" w:rsidTr="00810EB8">
        <w:tc>
          <w:tcPr>
            <w:tcW w:w="2694" w:type="dxa"/>
            <w:shd w:val="clear" w:color="auto" w:fill="FFFFFF" w:themeFill="background1"/>
            <w:vAlign w:val="center"/>
          </w:tcPr>
          <w:p w14:paraId="16639794" w14:textId="1728B79C" w:rsidR="00810EB8" w:rsidRDefault="00810EB8" w:rsidP="00A90656">
            <w:r>
              <w:t>Animal use for scientific purposes</w:t>
            </w:r>
            <w:r w:rsidR="00133E66">
              <w:rPr>
                <w:rStyle w:val="Refdenotaalpie"/>
              </w:rPr>
              <w:footnoteReference w:id="71"/>
            </w:r>
          </w:p>
        </w:tc>
        <w:tc>
          <w:tcPr>
            <w:tcW w:w="6237" w:type="dxa"/>
            <w:vAlign w:val="center"/>
          </w:tcPr>
          <w:p w14:paraId="05BACF6D" w14:textId="4030FB7C" w:rsidR="00810EB8" w:rsidRDefault="00810EB8" w:rsidP="00A90656">
            <w:r>
              <w:t>Call for full phase-out across the pharmaceutical sector, with accelerated transition to non-animal testing</w:t>
            </w:r>
          </w:p>
        </w:tc>
      </w:tr>
      <w:tr w:rsidR="00810EB8" w14:paraId="400FFA7A" w14:textId="77777777" w:rsidTr="00810EB8">
        <w:tc>
          <w:tcPr>
            <w:tcW w:w="2694" w:type="dxa"/>
            <w:shd w:val="clear" w:color="auto" w:fill="FFFFFF" w:themeFill="background1"/>
            <w:vAlign w:val="center"/>
          </w:tcPr>
          <w:p w14:paraId="167C9FFB" w14:textId="443D5532" w:rsidR="00810EB8" w:rsidRDefault="00810EB8" w:rsidP="00A90656">
            <w:r>
              <w:t>EU Taxonomy Regulation</w:t>
            </w:r>
            <w:r w:rsidR="00133E66">
              <w:rPr>
                <w:rStyle w:val="Refdenotaalpie"/>
              </w:rPr>
              <w:footnoteReference w:id="72"/>
            </w:r>
          </w:p>
        </w:tc>
        <w:tc>
          <w:tcPr>
            <w:tcW w:w="6237" w:type="dxa"/>
            <w:vAlign w:val="center"/>
          </w:tcPr>
          <w:p w14:paraId="46121DD9" w14:textId="68F1E583" w:rsidR="00810EB8" w:rsidRDefault="00810EB8" w:rsidP="00A90656">
            <w:r>
              <w:t>Creation of an EU classification system for sustainable activities, of criteria for pharma companies to be considered “environmentally sustainable” and of company reporting rules (e.g., biodegradability of APIs)</w:t>
            </w:r>
          </w:p>
        </w:tc>
      </w:tr>
    </w:tbl>
    <w:p w14:paraId="12B4F3F6" w14:textId="77777777" w:rsidR="0050072B" w:rsidRPr="0050072B" w:rsidRDefault="0050072B" w:rsidP="00C93DCD"/>
    <w:p w14:paraId="6A6F5EF1" w14:textId="77777777" w:rsidR="002D24A4" w:rsidRDefault="002D24A4">
      <w:pPr>
        <w:rPr>
          <w:rFonts w:eastAsiaTheme="majorEastAsia" w:cstheme="majorBidi"/>
          <w:b/>
          <w:bCs/>
          <w:sz w:val="24"/>
          <w:szCs w:val="24"/>
        </w:rPr>
      </w:pPr>
      <w:r>
        <w:br w:type="page"/>
      </w:r>
    </w:p>
    <w:p w14:paraId="049D2E1C" w14:textId="6D0EC383" w:rsidR="003D3DCD" w:rsidRDefault="003D3DCD" w:rsidP="00D71DFE">
      <w:pPr>
        <w:pStyle w:val="Heading1noborder"/>
      </w:pPr>
      <w:r w:rsidRPr="004C5A19">
        <w:lastRenderedPageBreak/>
        <w:t>References</w:t>
      </w:r>
    </w:p>
    <w:p w14:paraId="4A150882" w14:textId="77777777" w:rsidR="009B6888" w:rsidRPr="00D71DFE" w:rsidRDefault="009B6888" w:rsidP="009B6888">
      <w:pPr>
        <w:rPr>
          <w:lang w:val="fr-FR"/>
        </w:rPr>
      </w:pPr>
      <w:r w:rsidRPr="00B4349E">
        <w:rPr>
          <w:b/>
          <w:bCs/>
          <w:lang w:val="en-US"/>
        </w:rPr>
        <w:t>Dolon. (2020).</w:t>
      </w:r>
      <w:r>
        <w:rPr>
          <w:lang w:val="en-US"/>
        </w:rPr>
        <w:t xml:space="preserve"> </w:t>
      </w:r>
      <w:r>
        <w:t xml:space="preserve">Estimated impact of EU Orphan Regulation on incentives for innovation.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https://dolon.com/dolon/wp-content/uploads/2020/10/Estimated-impact-of-EU-Orphan-Regulation-on-incentives-for-innovation.pdf</w:t>
      </w:r>
    </w:p>
    <w:p w14:paraId="23F42ED5" w14:textId="77777777" w:rsidR="009B6888" w:rsidRPr="00D71DFE" w:rsidRDefault="009B6888" w:rsidP="009B6888">
      <w:pPr>
        <w:rPr>
          <w:b/>
          <w:bCs/>
          <w:lang w:val="fr-FR"/>
        </w:rPr>
      </w:pPr>
      <w:r w:rsidRPr="00B4349E">
        <w:rPr>
          <w:b/>
          <w:bCs/>
        </w:rPr>
        <w:t>Dolon. (2023).</w:t>
      </w:r>
      <w:r>
        <w:t xml:space="preserve"> Revision of the Orphan Regulation: Estimated impact on incentives for innovation of changes proposed by the European Commission.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https://dolon.com/wp-content/uploads/2023/09/Impact-of-changes-to-Orphan-Regulation-Dolon-Report.pdf?x83136</w:t>
      </w:r>
    </w:p>
    <w:p w14:paraId="69B55F6B" w14:textId="77777777" w:rsidR="009B6888" w:rsidRDefault="009B6888" w:rsidP="009B6888">
      <w:pPr>
        <w:rPr>
          <w:lang w:val="fr-FR"/>
        </w:rPr>
      </w:pPr>
      <w:r w:rsidRPr="00536451">
        <w:rPr>
          <w:b/>
          <w:bCs/>
        </w:rPr>
        <w:t xml:space="preserve">ECHA. (2020). </w:t>
      </w:r>
      <w:bookmarkStart w:id="9" w:name="_Hlk148541258"/>
      <w:r w:rsidRPr="00B4349E">
        <w:t>In support of the EU chemicals strategy for sustainability: One substance – one assessment.</w:t>
      </w:r>
      <w:r>
        <w:t xml:space="preserve"> </w:t>
      </w:r>
      <w:bookmarkEnd w:id="9"/>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https://echa.europa.eu/documents/10162/21877836/efsa-echa-position-paper-osoa_en.pdf/74b1ae31-290b-a608-85e9-05b340840b34</w:t>
      </w:r>
    </w:p>
    <w:p w14:paraId="57AE594C" w14:textId="6D765EA2" w:rsidR="001B2D2F" w:rsidRDefault="001B2D2F" w:rsidP="009B6888">
      <w:r w:rsidRPr="001B2D2F">
        <w:rPr>
          <w:b/>
          <w:bCs/>
        </w:rPr>
        <w:t>ECHA. (2023).</w:t>
      </w:r>
      <w:r>
        <w:t xml:space="preserve"> ECHA publishes PFAS restriction proposal. Available: </w:t>
      </w:r>
      <w:r w:rsidRPr="001B2D2F">
        <w:t>https://echa.europa.eu</w:t>
      </w:r>
      <w:r>
        <w:t xml:space="preserve"> </w:t>
      </w:r>
      <w:r w:rsidRPr="001B2D2F">
        <w:t>/-/</w:t>
      </w:r>
      <w:proofErr w:type="spellStart"/>
      <w:r w:rsidRPr="001B2D2F">
        <w:t>echa</w:t>
      </w:r>
      <w:proofErr w:type="spellEnd"/>
      <w:r w:rsidRPr="001B2D2F">
        <w:t>-publishes-pfas-restriction-proposal</w:t>
      </w:r>
    </w:p>
    <w:p w14:paraId="325C65F6" w14:textId="2AE09733" w:rsidR="001B2D2F" w:rsidRPr="0019214F" w:rsidRDefault="001B2D2F" w:rsidP="009B6888">
      <w:r w:rsidRPr="0019214F">
        <w:rPr>
          <w:b/>
          <w:bCs/>
        </w:rPr>
        <w:t xml:space="preserve">ECHA. (2023). </w:t>
      </w:r>
      <w:r w:rsidRPr="001B2D2F">
        <w:t>Understanding CLP. Availabl</w:t>
      </w:r>
      <w:r>
        <w:t xml:space="preserve">e: </w:t>
      </w:r>
      <w:r w:rsidRPr="001B2D2F">
        <w:t>https://echa.europa.eu/regulations/clp/</w:t>
      </w:r>
      <w:r>
        <w:t xml:space="preserve"> </w:t>
      </w:r>
      <w:r w:rsidRPr="001B2D2F">
        <w:t>understanding-</w:t>
      </w:r>
      <w:proofErr w:type="spellStart"/>
      <w:r w:rsidRPr="001B2D2F">
        <w:t>clp</w:t>
      </w:r>
      <w:proofErr w:type="spellEnd"/>
    </w:p>
    <w:p w14:paraId="6E1A74FE" w14:textId="77777777" w:rsidR="009B6888" w:rsidRPr="00D71DFE" w:rsidRDefault="009B6888" w:rsidP="009B6888">
      <w:pPr>
        <w:rPr>
          <w:b/>
          <w:bCs/>
          <w:lang w:val="fr-FR"/>
        </w:rPr>
      </w:pPr>
      <w:r w:rsidRPr="00536451">
        <w:rPr>
          <w:b/>
          <w:bCs/>
        </w:rPr>
        <w:t xml:space="preserve">EFPIA. (2022). </w:t>
      </w:r>
      <w:r w:rsidRPr="00B4349E">
        <w:t>Addressing patient access inequalities in Europe: The Industry commitment to file pricing and reimbursement applications across Europe and the European Access Portal.</w:t>
      </w:r>
      <w:r>
        <w:t xml:space="preserve">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https://www.efpia.eu/media/636830/addressing-patient-access-inequalities-in-europe.pdf</w:t>
      </w:r>
    </w:p>
    <w:p w14:paraId="08072E69" w14:textId="0F7B19C7" w:rsidR="009B6888" w:rsidRPr="00D71DFE" w:rsidRDefault="009B6888" w:rsidP="009B6888">
      <w:pPr>
        <w:rPr>
          <w:b/>
          <w:bCs/>
          <w:lang w:val="fr-FR"/>
        </w:rPr>
      </w:pPr>
      <w:r w:rsidRPr="004A69DC">
        <w:rPr>
          <w:b/>
          <w:bCs/>
        </w:rPr>
        <w:t xml:space="preserve">EFPIA. (2023). </w:t>
      </w:r>
      <w:r w:rsidRPr="00B4349E">
        <w:t>Assessment of main provisions and key EFPIA recommendation on the revision of the pharmaceutical package</w:t>
      </w:r>
      <w:r>
        <w:t xml:space="preserve">.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https://www.efpia.eu/media/gy5j1nkt/efpia-recommendations-on-the-revision-of-the-pharmaceutical-package.pdf</w:t>
      </w:r>
    </w:p>
    <w:p w14:paraId="168C289F" w14:textId="77777777" w:rsidR="009B6888" w:rsidRPr="00D71DFE" w:rsidRDefault="009B6888" w:rsidP="009B6888">
      <w:pPr>
        <w:rPr>
          <w:b/>
          <w:bCs/>
          <w:lang w:val="fr-FR"/>
        </w:rPr>
      </w:pPr>
      <w:r w:rsidRPr="00B4349E">
        <w:rPr>
          <w:b/>
          <w:bCs/>
        </w:rPr>
        <w:t>EFPIA. (2023).</w:t>
      </w:r>
      <w:r>
        <w:t xml:space="preserve"> The Pharmaceutical Industry in Figures.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https://www.efpia.eu/media/rm4kzdlx/the-pharmaceutical-industry-in-figures-2023.pdf</w:t>
      </w:r>
    </w:p>
    <w:p w14:paraId="76B085CF" w14:textId="1FBF1138" w:rsidR="006841B2" w:rsidRPr="0019214F" w:rsidRDefault="006841B2" w:rsidP="009B6888">
      <w:pPr>
        <w:rPr>
          <w:lang w:val="fr-FR"/>
        </w:rPr>
      </w:pPr>
      <w:r w:rsidRPr="0019214F">
        <w:rPr>
          <w:b/>
          <w:bCs/>
          <w:lang w:val="fr-FR"/>
        </w:rPr>
        <w:t xml:space="preserve">EMA. (2020). </w:t>
      </w:r>
      <w:r w:rsidRPr="0019214F">
        <w:rPr>
          <w:lang w:val="fr-FR"/>
        </w:rPr>
        <w:t xml:space="preserve">Nitrosamine </w:t>
      </w:r>
      <w:proofErr w:type="spellStart"/>
      <w:r w:rsidRPr="0019214F">
        <w:rPr>
          <w:lang w:val="fr-FR"/>
        </w:rPr>
        <w:t>impurities</w:t>
      </w:r>
      <w:proofErr w:type="spellEnd"/>
      <w:r w:rsidRPr="0019214F">
        <w:rPr>
          <w:lang w:val="fr-FR"/>
        </w:rPr>
        <w:t xml:space="preserve">. </w:t>
      </w:r>
      <w:proofErr w:type="spellStart"/>
      <w:proofErr w:type="gramStart"/>
      <w:r w:rsidRPr="0019214F">
        <w:rPr>
          <w:lang w:val="fr-FR"/>
        </w:rPr>
        <w:t>Available</w:t>
      </w:r>
      <w:proofErr w:type="spellEnd"/>
      <w:r w:rsidRPr="0019214F">
        <w:rPr>
          <w:lang w:val="fr-FR"/>
        </w:rPr>
        <w:t>:</w:t>
      </w:r>
      <w:proofErr w:type="gramEnd"/>
      <w:r w:rsidRPr="0019214F">
        <w:rPr>
          <w:lang w:val="fr-FR"/>
        </w:rPr>
        <w:t xml:space="preserve"> https://www.ema.europa.eu/en/human-regulatory/post-authorisation/referral-procedures/nitrosamine-impurities</w:t>
      </w:r>
    </w:p>
    <w:p w14:paraId="3CE34BE5" w14:textId="2FE12092" w:rsidR="00133E66" w:rsidRPr="00133E66" w:rsidRDefault="00133E66" w:rsidP="009B6888">
      <w:r>
        <w:rPr>
          <w:b/>
          <w:bCs/>
        </w:rPr>
        <w:t xml:space="preserve">EMA. (2023). </w:t>
      </w:r>
      <w:r>
        <w:t xml:space="preserve">Ethical use of animals in medicine testing. Available: </w:t>
      </w:r>
      <w:r w:rsidRPr="00133E66">
        <w:t>https://www.ema.europa.eu/en/human-regulatory/research-development/ethical-use-animals-medicine-testing#:~:text=The%20European%20Medicines%20Agency%20(EMA,</w:t>
      </w:r>
      <w:r w:rsidR="006F74F1">
        <w:t xml:space="preserve"> </w:t>
      </w:r>
      <w:r w:rsidRPr="00133E66">
        <w:t>the%20European%20Union%20(EU).</w:t>
      </w:r>
    </w:p>
    <w:p w14:paraId="779B91BA" w14:textId="47E6A764" w:rsidR="009B6888" w:rsidRDefault="009B6888" w:rsidP="009B6888">
      <w:pPr>
        <w:rPr>
          <w:lang w:val="fr-FR"/>
        </w:rPr>
      </w:pPr>
      <w:r w:rsidRPr="00D71DFE">
        <w:rPr>
          <w:b/>
          <w:bCs/>
        </w:rPr>
        <w:t xml:space="preserve">EPPA. (2023). </w:t>
      </w:r>
      <w:r w:rsidRPr="009B6888">
        <w:t xml:space="preserve">Socio-economic analysis of the potential restriction of the per- and polyfluoroalkyl substances (PFAS) used in the production, </w:t>
      </w:r>
      <w:proofErr w:type="gramStart"/>
      <w:r w:rsidRPr="009B6888">
        <w:t>packaging</w:t>
      </w:r>
      <w:proofErr w:type="gramEnd"/>
      <w:r w:rsidRPr="009B6888">
        <w:t xml:space="preserve"> and delivery of human medicinal products. </w:t>
      </w:r>
      <w:proofErr w:type="spellStart"/>
      <w:r w:rsidRPr="00D71DFE">
        <w:rPr>
          <w:lang w:val="fr-FR"/>
        </w:rPr>
        <w:t>Available</w:t>
      </w:r>
      <w:proofErr w:type="spellEnd"/>
      <w:r w:rsidRPr="00D71DFE">
        <w:rPr>
          <w:lang w:val="fr-FR"/>
        </w:rPr>
        <w:t xml:space="preserve"> https://www.efpia.eu/media/52ipvgfi/annex-1-efpia_sea_pfas_final.pdf</w:t>
      </w:r>
    </w:p>
    <w:p w14:paraId="69460557" w14:textId="55FD75C3" w:rsidR="009B6888" w:rsidRDefault="009B6888" w:rsidP="009B6888">
      <w:pPr>
        <w:rPr>
          <w:lang w:val="fr-FR"/>
        </w:rPr>
      </w:pPr>
      <w:r w:rsidRPr="00D71DFE">
        <w:rPr>
          <w:b/>
          <w:bCs/>
        </w:rPr>
        <w:t xml:space="preserve">European Commission. </w:t>
      </w:r>
      <w:r w:rsidRPr="00B4349E">
        <w:rPr>
          <w:b/>
          <w:bCs/>
        </w:rPr>
        <w:t>(2020).</w:t>
      </w:r>
      <w:r w:rsidRPr="004A69DC">
        <w:t xml:space="preserve"> A pharmaceutical strategy for Europe.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https://health.ec.europa.eu/medicinal-products/pharmaceutical-strategy-europe_en</w:t>
      </w:r>
    </w:p>
    <w:p w14:paraId="5EB344CF" w14:textId="41366378" w:rsidR="006841B2" w:rsidRPr="00D71DFE" w:rsidRDefault="006841B2" w:rsidP="009B6888">
      <w:pPr>
        <w:rPr>
          <w:lang w:val="fr-FR"/>
        </w:rPr>
      </w:pPr>
      <w:proofErr w:type="spellStart"/>
      <w:r w:rsidRPr="0019214F">
        <w:rPr>
          <w:b/>
          <w:bCs/>
          <w:lang w:val="fr-FR"/>
        </w:rPr>
        <w:t>European</w:t>
      </w:r>
      <w:proofErr w:type="spellEnd"/>
      <w:r w:rsidRPr="0019214F">
        <w:rPr>
          <w:b/>
          <w:bCs/>
          <w:lang w:val="fr-FR"/>
        </w:rPr>
        <w:t xml:space="preserve"> Commission. (2022).</w:t>
      </w:r>
      <w:r w:rsidRPr="0019214F">
        <w:rPr>
          <w:lang w:val="fr-FR"/>
        </w:rPr>
        <w:t xml:space="preserve"> Re-</w:t>
      </w:r>
      <w:proofErr w:type="spellStart"/>
      <w:r w:rsidRPr="0019214F">
        <w:rPr>
          <w:lang w:val="fr-FR"/>
        </w:rPr>
        <w:t>evaluation</w:t>
      </w:r>
      <w:proofErr w:type="spellEnd"/>
      <w:r w:rsidRPr="0019214F">
        <w:rPr>
          <w:lang w:val="fr-FR"/>
        </w:rPr>
        <w:t xml:space="preserve">. </w:t>
      </w:r>
      <w:proofErr w:type="spellStart"/>
      <w:proofErr w:type="gramStart"/>
      <w:r w:rsidRPr="0019214F">
        <w:rPr>
          <w:lang w:val="fr-FR"/>
        </w:rPr>
        <w:t>Available</w:t>
      </w:r>
      <w:proofErr w:type="spellEnd"/>
      <w:r w:rsidRPr="0019214F">
        <w:rPr>
          <w:lang w:val="fr-FR"/>
        </w:rPr>
        <w:t>:</w:t>
      </w:r>
      <w:proofErr w:type="gramEnd"/>
      <w:r w:rsidRPr="0019214F">
        <w:rPr>
          <w:lang w:val="fr-FR"/>
        </w:rPr>
        <w:t xml:space="preserve"> https://food.ec.europa.eu/safety/food-improvement-agents/additives/re-evaluation_en</w:t>
      </w:r>
    </w:p>
    <w:p w14:paraId="4FC89C12" w14:textId="11FE1FF0" w:rsidR="00133E66" w:rsidRPr="0019214F" w:rsidRDefault="00133E66" w:rsidP="009B6888">
      <w:pPr>
        <w:rPr>
          <w:lang w:val="fr-FR"/>
        </w:rPr>
      </w:pPr>
      <w:proofErr w:type="spellStart"/>
      <w:r w:rsidRPr="0019214F">
        <w:rPr>
          <w:b/>
          <w:bCs/>
          <w:lang w:val="fr-FR"/>
        </w:rPr>
        <w:lastRenderedPageBreak/>
        <w:t>European</w:t>
      </w:r>
      <w:proofErr w:type="spellEnd"/>
      <w:r w:rsidRPr="0019214F">
        <w:rPr>
          <w:b/>
          <w:bCs/>
          <w:lang w:val="fr-FR"/>
        </w:rPr>
        <w:t xml:space="preserve"> Commission. </w:t>
      </w:r>
      <w:r>
        <w:rPr>
          <w:b/>
          <w:bCs/>
        </w:rPr>
        <w:t xml:space="preserve">(2022). </w:t>
      </w:r>
      <w:r>
        <w:t xml:space="preserve">Questions and Answers on new EU rules on surface water and groundwater pollution. </w:t>
      </w:r>
      <w:proofErr w:type="spellStart"/>
      <w:proofErr w:type="gramStart"/>
      <w:r w:rsidRPr="0019214F">
        <w:rPr>
          <w:lang w:val="fr-FR"/>
        </w:rPr>
        <w:t>Available</w:t>
      </w:r>
      <w:proofErr w:type="spellEnd"/>
      <w:r w:rsidRPr="0019214F">
        <w:rPr>
          <w:lang w:val="fr-FR"/>
        </w:rPr>
        <w:t>:</w:t>
      </w:r>
      <w:proofErr w:type="gramEnd"/>
      <w:r w:rsidRPr="0019214F">
        <w:rPr>
          <w:lang w:val="fr-FR"/>
        </w:rPr>
        <w:t xml:space="preserve"> https://ec.europa.eu/commission/presscorner/detail/en/ qanda_22_6279</w:t>
      </w:r>
    </w:p>
    <w:p w14:paraId="09E8E2E8" w14:textId="0F6FD199" w:rsidR="00133E66" w:rsidRPr="00133E66" w:rsidRDefault="00133E66" w:rsidP="009B6888">
      <w:r>
        <w:rPr>
          <w:b/>
          <w:bCs/>
        </w:rPr>
        <w:t xml:space="preserve">European Commission. (2022). </w:t>
      </w:r>
      <w:r>
        <w:t xml:space="preserve">Urban wastewater. Available: </w:t>
      </w:r>
      <w:r w:rsidRPr="00133E66">
        <w:t>https://environment.ec.europa.eu/topics/water/urban-wastewater_en</w:t>
      </w:r>
    </w:p>
    <w:p w14:paraId="3E47B7D1" w14:textId="142FD41C" w:rsidR="009B6888" w:rsidRDefault="009B6888" w:rsidP="009B6888">
      <w:pPr>
        <w:rPr>
          <w:lang w:val="fr-FR"/>
        </w:rPr>
      </w:pPr>
      <w:r w:rsidRPr="00536451">
        <w:rPr>
          <w:b/>
          <w:bCs/>
        </w:rPr>
        <w:t xml:space="preserve">European Commission. (2023). </w:t>
      </w:r>
      <w:r w:rsidRPr="00B4349E">
        <w:t>Chemicals legislation – revision of REACH Regulation to help achieve a toxic free environment.</w:t>
      </w:r>
      <w:r>
        <w:t xml:space="preserve">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https://ec.europa.eu/info/law/better-regulation/have-your-say/initiatives/12959-Chemicals-legislation-revision-of-REACH-Regulation-to-help-achieve-a-toxic-free-environment_en</w:t>
      </w:r>
    </w:p>
    <w:p w14:paraId="56A8361C" w14:textId="391ABF5D" w:rsidR="006841B2" w:rsidRPr="00D71DFE" w:rsidRDefault="006841B2" w:rsidP="009B6888">
      <w:pPr>
        <w:rPr>
          <w:b/>
          <w:bCs/>
          <w:lang w:val="fr-FR"/>
        </w:rPr>
      </w:pPr>
      <w:r w:rsidRPr="0019214F">
        <w:rPr>
          <w:b/>
          <w:bCs/>
        </w:rPr>
        <w:t xml:space="preserve">European Commission. (2023). </w:t>
      </w:r>
      <w:r w:rsidRPr="0019214F">
        <w:t xml:space="preserve">Commission Regulation (EU) …/… amending Annex XVII to Regulation (EC) No 1907/2006 concerning the Registration, Evaluation, Authorisation and Restriction of Chemicals (REACH) as regards synthetic polymer microparticles. </w:t>
      </w:r>
      <w:proofErr w:type="spellStart"/>
      <w:proofErr w:type="gramStart"/>
      <w:r w:rsidRPr="006841B2">
        <w:rPr>
          <w:lang w:val="fr-FR"/>
        </w:rPr>
        <w:t>Available</w:t>
      </w:r>
      <w:proofErr w:type="spellEnd"/>
      <w:r w:rsidRPr="006841B2">
        <w:rPr>
          <w:lang w:val="fr-FR"/>
        </w:rPr>
        <w:t>:</w:t>
      </w:r>
      <w:proofErr w:type="gramEnd"/>
      <w:r>
        <w:rPr>
          <w:b/>
          <w:bCs/>
          <w:lang w:val="fr-FR"/>
        </w:rPr>
        <w:t xml:space="preserve"> </w:t>
      </w:r>
      <w:r w:rsidRPr="006841B2">
        <w:rPr>
          <w:lang w:val="fr-FR"/>
        </w:rPr>
        <w:t>https://single-market-economy.ec.europa.eu/publications/commission-regulation-eu-amending-reach-regulation-regards-synthetic-polymer-microparticles_en</w:t>
      </w:r>
    </w:p>
    <w:p w14:paraId="21727A01" w14:textId="50DDB274" w:rsidR="00133E66" w:rsidRPr="0019214F" w:rsidRDefault="00133E66" w:rsidP="009B6888">
      <w:pPr>
        <w:rPr>
          <w:lang w:val="fr-FR"/>
        </w:rPr>
      </w:pPr>
      <w:r>
        <w:rPr>
          <w:b/>
          <w:bCs/>
        </w:rPr>
        <w:t xml:space="preserve">European Commission. (2023). </w:t>
      </w:r>
      <w:r>
        <w:t xml:space="preserve">Corporate sustainability reporting. </w:t>
      </w:r>
      <w:proofErr w:type="spellStart"/>
      <w:proofErr w:type="gramStart"/>
      <w:r w:rsidRPr="0019214F">
        <w:rPr>
          <w:lang w:val="fr-FR"/>
        </w:rPr>
        <w:t>Available</w:t>
      </w:r>
      <w:proofErr w:type="spellEnd"/>
      <w:r w:rsidRPr="0019214F">
        <w:rPr>
          <w:lang w:val="fr-FR"/>
        </w:rPr>
        <w:t>:</w:t>
      </w:r>
      <w:proofErr w:type="gramEnd"/>
      <w:r w:rsidRPr="0019214F">
        <w:rPr>
          <w:lang w:val="fr-FR"/>
        </w:rPr>
        <w:t xml:space="preserve"> https://finance.ec.europa.eu/capital-markets-union-and-financial-markets/company-reporting-and-auditing/company-reporting/corporate-sustainability-reporting_en</w:t>
      </w:r>
    </w:p>
    <w:p w14:paraId="216D938A" w14:textId="78BE5E9C" w:rsidR="006F74F1" w:rsidRPr="006F74F1" w:rsidRDefault="006F74F1" w:rsidP="009B6888">
      <w:r>
        <w:rPr>
          <w:b/>
          <w:bCs/>
        </w:rPr>
        <w:t xml:space="preserve">European Commission. (2023). </w:t>
      </w:r>
      <w:r>
        <w:t xml:space="preserve">EU taxonomy for sustainable activities. Available: </w:t>
      </w:r>
      <w:r w:rsidRPr="006F74F1">
        <w:t>https://finance.ec.europa.eu/sustainable-finance/tools-and-standards/eu-taxonomy-sustainable-activities_en#:~:text=The%20Taxonomy%20Regulation%20was%</w:t>
      </w:r>
      <w:r>
        <w:t xml:space="preserve"> </w:t>
      </w:r>
      <w:r w:rsidRPr="006F74F1">
        <w:t>20</w:t>
      </w:r>
      <w:proofErr w:type="gramStart"/>
      <w:r w:rsidRPr="006F74F1">
        <w:t>published,to</w:t>
      </w:r>
      <w:proofErr w:type="gramEnd"/>
      <w:r w:rsidRPr="006F74F1">
        <w:t>%20qualify%20as%20environmentally%20sustainable.</w:t>
      </w:r>
    </w:p>
    <w:p w14:paraId="6063A544" w14:textId="07674FD0" w:rsidR="009B6888" w:rsidRPr="00D71DFE" w:rsidRDefault="009B6888" w:rsidP="009B6888">
      <w:pPr>
        <w:rPr>
          <w:b/>
          <w:bCs/>
          <w:lang w:val="fr-FR"/>
        </w:rPr>
      </w:pPr>
      <w:r w:rsidRPr="004A69DC">
        <w:rPr>
          <w:b/>
          <w:bCs/>
        </w:rPr>
        <w:t xml:space="preserve">European Commission. (2023). </w:t>
      </w:r>
      <w:r w:rsidRPr="00B4349E">
        <w:t>Impact assessment report and executive summary accompanying the revision of the general pharmaceutical legislation.</w:t>
      </w:r>
      <w:r>
        <w:t xml:space="preserve">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https://health.ec.europa.eu/publications/impact-assessment-report-and-executive-summary-accompanying-revision-general-pharmaceutical_en</w:t>
      </w:r>
    </w:p>
    <w:p w14:paraId="69C80176" w14:textId="6CA32C3F" w:rsidR="009B6888" w:rsidRPr="00D71DFE" w:rsidRDefault="009B6888" w:rsidP="009B6888">
      <w:pPr>
        <w:rPr>
          <w:lang w:val="fr-FR"/>
        </w:rPr>
      </w:pPr>
      <w:r w:rsidRPr="00B4349E">
        <w:rPr>
          <w:b/>
          <w:bCs/>
        </w:rPr>
        <w:t>European Commission. (2023).</w:t>
      </w:r>
      <w:r w:rsidRPr="004A69DC">
        <w:t xml:space="preserve"> Reform of the EU pharmaceutical legislation.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https://health.ec.europa.eu/medicinal-products/pharmaceutical-strategy-europe/reform-eu-pharmaceutical-legislation_en</w:t>
      </w:r>
    </w:p>
    <w:p w14:paraId="38ECEAF4" w14:textId="27CDB73A" w:rsidR="009B6888" w:rsidRPr="00D71DFE" w:rsidRDefault="009B6888" w:rsidP="009B6888">
      <w:pPr>
        <w:rPr>
          <w:lang w:val="fr-FR"/>
        </w:rPr>
      </w:pPr>
      <w:r w:rsidRPr="00B4349E">
        <w:rPr>
          <w:b/>
          <w:bCs/>
          <w:lang w:val="en-US"/>
        </w:rPr>
        <w:t>European Commission. (2023).</w:t>
      </w:r>
      <w:r>
        <w:rPr>
          <w:lang w:val="en-US"/>
        </w:rPr>
        <w:t xml:space="preserve"> Staff Working Document – Impact Assessment </w:t>
      </w:r>
      <w:proofErr w:type="gramStart"/>
      <w:r>
        <w:rPr>
          <w:lang w:val="en-US"/>
        </w:rPr>
        <w:t>report,.</w:t>
      </w:r>
      <w:proofErr w:type="gramEnd"/>
      <w:r>
        <w:rPr>
          <w:lang w:val="en-US"/>
        </w:rPr>
        <w:t xml:space="preserve">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https://health.ec.europa.eu/system/files/2023-04/swd_2023_192_1_ia_en.pdf</w:t>
      </w:r>
    </w:p>
    <w:p w14:paraId="73FE595F" w14:textId="42DCD354" w:rsidR="009B6888" w:rsidRPr="00D71DFE" w:rsidRDefault="009B6888" w:rsidP="009B6888">
      <w:r w:rsidRPr="00B4349E">
        <w:rPr>
          <w:b/>
          <w:bCs/>
          <w:lang w:val="en-US"/>
        </w:rPr>
        <w:t>European Commission, Directorate-General for Health and Food Safety</w:t>
      </w:r>
      <w:r>
        <w:rPr>
          <w:b/>
          <w:bCs/>
          <w:lang w:val="en-US"/>
        </w:rPr>
        <w:t>, Technopolis Group</w:t>
      </w:r>
      <w:r w:rsidRPr="00B4349E">
        <w:rPr>
          <w:b/>
          <w:bCs/>
          <w:lang w:val="en-US"/>
        </w:rPr>
        <w:t xml:space="preserve"> (2023)</w:t>
      </w:r>
      <w:r w:rsidRPr="00B4349E">
        <w:rPr>
          <w:lang w:val="en-US"/>
        </w:rPr>
        <w:t xml:space="preserve"> Study in support of the evaluation and impact assessment of the EU general pharmaceuticals legislation – Impact </w:t>
      </w:r>
      <w:r w:rsidRPr="00D71DFE">
        <w:t>assessment report. Available: https://data.europa.eu/doi/10.2875/00611</w:t>
      </w:r>
    </w:p>
    <w:p w14:paraId="600588B6" w14:textId="53344E0A" w:rsidR="00133E66" w:rsidRPr="00133E66" w:rsidRDefault="00133E66" w:rsidP="009B6888">
      <w:pPr>
        <w:rPr>
          <w:lang w:val="en-US"/>
        </w:rPr>
      </w:pPr>
      <w:r>
        <w:rPr>
          <w:b/>
          <w:bCs/>
          <w:lang w:val="en-US"/>
        </w:rPr>
        <w:t xml:space="preserve">European Parliament. (2023). </w:t>
      </w:r>
      <w:r>
        <w:rPr>
          <w:lang w:val="en-US"/>
        </w:rPr>
        <w:t xml:space="preserve">Revision of the Packaging and Packaging Waste Directive. Available: </w:t>
      </w:r>
      <w:r w:rsidRPr="00133E66">
        <w:rPr>
          <w:lang w:val="en-US"/>
        </w:rPr>
        <w:t>https://www.europarl.europa.eu/thinktank/en/document/EPRS_BRI(2023)745707</w:t>
      </w:r>
      <w:r>
        <w:rPr>
          <w:lang w:val="en-US"/>
        </w:rPr>
        <w:t xml:space="preserve"> </w:t>
      </w:r>
      <w:proofErr w:type="gramStart"/>
      <w:r w:rsidRPr="00133E66">
        <w:rPr>
          <w:lang w:val="en-US"/>
        </w:rPr>
        <w:t>#:~</w:t>
      </w:r>
      <w:proofErr w:type="gramEnd"/>
      <w:r w:rsidRPr="00133E66">
        <w:rPr>
          <w:lang w:val="en-US"/>
        </w:rPr>
        <w:t>:text=The%20Packaging%20and%20Packaging%20Waste%20Directive%20(PPWD%20%E2%80%93%20Directive%2094%2F,the%20EU%20market%20must%20meet.</w:t>
      </w:r>
    </w:p>
    <w:p w14:paraId="7FB77D54" w14:textId="1EC7549B" w:rsidR="009B6888" w:rsidRPr="0019214F" w:rsidRDefault="009B6888" w:rsidP="009B6888">
      <w:pPr>
        <w:rPr>
          <w:highlight w:val="yellow"/>
        </w:rPr>
      </w:pPr>
      <w:r w:rsidRPr="00B4349E">
        <w:rPr>
          <w:b/>
          <w:bCs/>
          <w:lang w:val="en-US"/>
        </w:rPr>
        <w:t>Eurostat. Data browser.</w:t>
      </w:r>
      <w:r>
        <w:rPr>
          <w:lang w:val="en-US"/>
        </w:rPr>
        <w:t xml:space="preserve"> </w:t>
      </w:r>
      <w:r w:rsidRPr="00B4349E">
        <w:rPr>
          <w:b/>
          <w:bCs/>
          <w:lang w:val="en-US"/>
        </w:rPr>
        <w:t>(Accessed 2023).</w:t>
      </w:r>
      <w:r>
        <w:rPr>
          <w:lang w:val="en-US"/>
        </w:rPr>
        <w:t xml:space="preserve"> </w:t>
      </w:r>
      <w:r w:rsidRPr="0019214F">
        <w:t>Available: https://ec.europa.eu/eurostat/databrowser/view/DEMO_GIND/default/table?lang=en</w:t>
      </w:r>
    </w:p>
    <w:p w14:paraId="654A2890" w14:textId="2FAC9822" w:rsidR="00E616DC" w:rsidRPr="00B4349E" w:rsidRDefault="00E616DC" w:rsidP="009B6888">
      <w:pPr>
        <w:rPr>
          <w:lang w:val="en-US"/>
        </w:rPr>
      </w:pPr>
      <w:r w:rsidRPr="00555BB0">
        <w:rPr>
          <w:b/>
          <w:bCs/>
          <w:lang w:val="en-US"/>
        </w:rPr>
        <w:lastRenderedPageBreak/>
        <w:t>EXON. Analysis commissioned by EFPIA.</w:t>
      </w:r>
      <w:r w:rsidRPr="00F427F3">
        <w:rPr>
          <w:lang w:val="en-US"/>
        </w:rPr>
        <w:t xml:space="preserve"> (2023). Forthcoming publication</w:t>
      </w:r>
      <w:r>
        <w:rPr>
          <w:lang w:val="en-US"/>
        </w:rPr>
        <w:t xml:space="preserve"> </w:t>
      </w:r>
    </w:p>
    <w:p w14:paraId="43456E3E" w14:textId="77777777" w:rsidR="009B6888" w:rsidRPr="00D71DFE" w:rsidRDefault="009B6888" w:rsidP="009B6888">
      <w:pPr>
        <w:rPr>
          <w:b/>
          <w:bCs/>
          <w:lang w:val="fr-FR"/>
        </w:rPr>
      </w:pPr>
      <w:r w:rsidRPr="001E6FC8">
        <w:rPr>
          <w:b/>
          <w:bCs/>
        </w:rPr>
        <w:t>IQVIA</w:t>
      </w:r>
      <w:r>
        <w:rPr>
          <w:b/>
          <w:bCs/>
        </w:rPr>
        <w:t>. (2022)</w:t>
      </w:r>
      <w:r w:rsidRPr="001E6FC8">
        <w:rPr>
          <w:b/>
          <w:bCs/>
        </w:rPr>
        <w:t xml:space="preserve"> </w:t>
      </w:r>
      <w:r w:rsidRPr="00B4349E">
        <w:t>Protection Expiry and Journey into the Market: Pharmaceutical products in Europe</w:t>
      </w:r>
      <w:r>
        <w:t xml:space="preserve">.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https://www.iqvia.com/insights/the-iqvia-institute/reports/protection-expiry-and-journey-into-the-market</w:t>
      </w:r>
    </w:p>
    <w:p w14:paraId="59A31EC8" w14:textId="77777777" w:rsidR="009B6888" w:rsidRPr="00D71DFE" w:rsidRDefault="009B6888" w:rsidP="009B6888">
      <w:pPr>
        <w:rPr>
          <w:lang w:val="fr-FR"/>
        </w:rPr>
      </w:pPr>
      <w:r w:rsidRPr="00D71DFE">
        <w:rPr>
          <w:b/>
          <w:bCs/>
          <w:lang w:val="fr-FR"/>
        </w:rPr>
        <w:t>IQVIA. (2023).</w:t>
      </w:r>
      <w:r w:rsidRPr="00D71DFE">
        <w:rPr>
          <w:lang w:val="fr-FR"/>
        </w:rPr>
        <w:t xml:space="preserve"> EFPIA Patients W.A.I.T. Indicator 2022 Survey.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https://www.efpia.eu/media/s4qf1eqo/efpia_patient_wait_indicator_final_report.pdf</w:t>
      </w:r>
    </w:p>
    <w:p w14:paraId="61E0CBD3" w14:textId="77777777" w:rsidR="009B6888" w:rsidRPr="00D71DFE" w:rsidRDefault="009B6888" w:rsidP="009B6888">
      <w:pPr>
        <w:rPr>
          <w:lang w:val="fr-FR"/>
        </w:rPr>
      </w:pPr>
      <w:r w:rsidRPr="00B4349E">
        <w:rPr>
          <w:b/>
          <w:bCs/>
        </w:rPr>
        <w:t>LEK. (2022).</w:t>
      </w:r>
      <w:r w:rsidRPr="004A69DC">
        <w:t xml:space="preserve"> How the Inflation Reduction Act Will Impact the Biopharmaceutical Industry.</w:t>
      </w:r>
      <w:r>
        <w:t xml:space="preserve">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https://www.lek.com/insights/ei/how-inflation-reduction-act-will-impact-biopharmaceutical-industry</w:t>
      </w:r>
    </w:p>
    <w:p w14:paraId="07F85072" w14:textId="05405498" w:rsidR="009B6888" w:rsidRPr="00D71DFE" w:rsidRDefault="009B6888" w:rsidP="009B6888">
      <w:pPr>
        <w:rPr>
          <w:lang w:val="fr-FR"/>
        </w:rPr>
      </w:pPr>
      <w:r w:rsidRPr="00B4349E">
        <w:rPr>
          <w:b/>
          <w:bCs/>
          <w:lang w:val="en-US"/>
        </w:rPr>
        <w:t xml:space="preserve">LEK Consulting, RAND Europe and </w:t>
      </w:r>
      <w:proofErr w:type="spellStart"/>
      <w:r w:rsidRPr="00B4349E">
        <w:rPr>
          <w:b/>
          <w:bCs/>
          <w:lang w:val="en-US"/>
        </w:rPr>
        <w:t>SiRM</w:t>
      </w:r>
      <w:proofErr w:type="spellEnd"/>
      <w:r w:rsidRPr="00B4349E">
        <w:rPr>
          <w:b/>
          <w:bCs/>
          <w:lang w:val="en-US"/>
        </w:rPr>
        <w:t xml:space="preserve">. Special report commissioned by </w:t>
      </w:r>
      <w:r w:rsidRPr="00B4349E">
        <w:rPr>
          <w:b/>
          <w:bCs/>
        </w:rPr>
        <w:t>Dutch Ministry of Health, Welfare and Sports</w:t>
      </w:r>
      <w:r w:rsidRPr="00B4349E">
        <w:rPr>
          <w:b/>
          <w:bCs/>
          <w:lang w:val="en-US"/>
        </w:rPr>
        <w:t>. (2022).</w:t>
      </w:r>
      <w:r>
        <w:rPr>
          <w:lang w:val="en-US"/>
        </w:rPr>
        <w:t xml:space="preserve"> </w:t>
      </w:r>
      <w:r>
        <w:t xml:space="preserve">The financial ecosystem of pharmaceutical R&amp;D: An evidence base to inform further dialogue.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https://www.lek.com/insights/sr/financial-ecosystem-pharmaceutical-rd</w:t>
      </w:r>
    </w:p>
    <w:p w14:paraId="5C32E361" w14:textId="77777777" w:rsidR="009B6888" w:rsidRPr="00D71DFE" w:rsidRDefault="009B6888" w:rsidP="009B6888">
      <w:pPr>
        <w:rPr>
          <w:lang w:val="fr-FR"/>
        </w:rPr>
      </w:pPr>
      <w:r w:rsidRPr="00B4349E">
        <w:rPr>
          <w:b/>
          <w:bCs/>
        </w:rPr>
        <w:t>Lythgoe et al. (2022).</w:t>
      </w:r>
      <w:r>
        <w:t xml:space="preserve"> Cancer Therapy Approval Timings, Review Speed, and Publication of Pivotal Registration Trials in the US and Europe, 2010-2019. </w:t>
      </w:r>
      <w:r w:rsidRPr="00D71DFE">
        <w:rPr>
          <w:lang w:val="fr-FR"/>
        </w:rPr>
        <w:t xml:space="preserve">JAMA </w:t>
      </w:r>
      <w:proofErr w:type="spellStart"/>
      <w:r w:rsidRPr="00D71DFE">
        <w:rPr>
          <w:lang w:val="fr-FR"/>
        </w:rPr>
        <w:t>Netw</w:t>
      </w:r>
      <w:proofErr w:type="spellEnd"/>
      <w:r w:rsidRPr="00D71DFE">
        <w:rPr>
          <w:lang w:val="fr-FR"/>
        </w:rPr>
        <w:t xml:space="preserve"> Open, 5(6</w:t>
      </w:r>
      <w:proofErr w:type="gramStart"/>
      <w:r w:rsidRPr="00D71DFE">
        <w:rPr>
          <w:lang w:val="fr-FR"/>
        </w:rPr>
        <w:t>):e</w:t>
      </w:r>
      <w:proofErr w:type="gramEnd"/>
      <w:r w:rsidRPr="00D71DFE">
        <w:rPr>
          <w:lang w:val="fr-FR"/>
        </w:rPr>
        <w:t xml:space="preserve">2216183.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https://www.ncbi.nlm.nih.gov/pmc/articles/PMC9187952</w:t>
      </w:r>
    </w:p>
    <w:p w14:paraId="2749E265" w14:textId="77777777" w:rsidR="009B6888" w:rsidRDefault="009B6888" w:rsidP="009B6888">
      <w:proofErr w:type="spellStart"/>
      <w:r w:rsidRPr="00D71DFE">
        <w:rPr>
          <w:b/>
          <w:bCs/>
          <w:lang w:val="fr-FR"/>
        </w:rPr>
        <w:t>Naci</w:t>
      </w:r>
      <w:proofErr w:type="spellEnd"/>
      <w:r w:rsidRPr="00D71DFE">
        <w:rPr>
          <w:b/>
          <w:bCs/>
          <w:lang w:val="fr-FR"/>
        </w:rPr>
        <w:t xml:space="preserve"> et al. </w:t>
      </w:r>
      <w:r w:rsidRPr="00B4349E">
        <w:rPr>
          <w:b/>
          <w:bCs/>
          <w:lang w:val="en-US"/>
        </w:rPr>
        <w:t>(2020).</w:t>
      </w:r>
      <w:r>
        <w:rPr>
          <w:lang w:val="en-US"/>
        </w:rPr>
        <w:t xml:space="preserve"> </w:t>
      </w:r>
      <w:r w:rsidRPr="00E573C2">
        <w:rPr>
          <w:lang w:val="en-US"/>
        </w:rPr>
        <w:t>Generating comparative evidence on new drugs and devices before approval</w:t>
      </w:r>
      <w:r>
        <w:rPr>
          <w:lang w:val="en-US"/>
        </w:rPr>
        <w:t xml:space="preserve">. </w:t>
      </w:r>
      <w:r w:rsidRPr="00E573C2">
        <w:rPr>
          <w:i/>
          <w:iCs/>
          <w:lang w:val="en-US"/>
        </w:rPr>
        <w:t>The Lancet</w:t>
      </w:r>
      <w:r>
        <w:rPr>
          <w:i/>
          <w:iCs/>
          <w:lang w:val="en-US"/>
        </w:rPr>
        <w:t xml:space="preserve">, </w:t>
      </w:r>
      <w:r w:rsidRPr="00E573C2">
        <w:rPr>
          <w:lang w:val="en-US"/>
        </w:rPr>
        <w:t>395</w:t>
      </w:r>
      <w:r>
        <w:rPr>
          <w:lang w:val="en-US"/>
        </w:rPr>
        <w:t>(</w:t>
      </w:r>
      <w:r w:rsidRPr="00E573C2">
        <w:rPr>
          <w:lang w:val="en-US"/>
        </w:rPr>
        <w:t>10228</w:t>
      </w:r>
      <w:r>
        <w:rPr>
          <w:lang w:val="en-US"/>
        </w:rPr>
        <w:t>)</w:t>
      </w:r>
      <w:r w:rsidRPr="00E573C2">
        <w:rPr>
          <w:lang w:val="en-US"/>
        </w:rPr>
        <w:t>, 986-997</w:t>
      </w:r>
      <w:r>
        <w:rPr>
          <w:lang w:val="en-US"/>
        </w:rPr>
        <w:t xml:space="preserve">. Available: </w:t>
      </w:r>
      <w:r w:rsidRPr="00536451">
        <w:rPr>
          <w:lang w:val="en-US"/>
        </w:rPr>
        <w:t>https://www.thelancet.com/journals/lancet/article/PIIS0140-6736(19)33177-0/fulltext</w:t>
      </w:r>
    </w:p>
    <w:p w14:paraId="587F1495" w14:textId="77777777" w:rsidR="009B6888" w:rsidRPr="00D71DFE" w:rsidRDefault="009B6888" w:rsidP="009B6888">
      <w:pPr>
        <w:rPr>
          <w:b/>
          <w:bCs/>
          <w:lang w:val="fr-FR"/>
        </w:rPr>
      </w:pPr>
      <w:r w:rsidRPr="001E6FC8">
        <w:rPr>
          <w:b/>
          <w:bCs/>
        </w:rPr>
        <w:t xml:space="preserve">Office of Health Economics for EUCOPE. (2020). </w:t>
      </w:r>
      <w:r w:rsidRPr="00B4349E">
        <w:t>Economic and financial challenges of developing orphan medicinal products: Does the European Regulation tackle them.</w:t>
      </w:r>
      <w:r>
        <w:t xml:space="preserve">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https://www.eucope.org/wp-content/uploads/2020/04/ohe-omp-regulation-28-feb-2020-fv.pdf</w:t>
      </w:r>
    </w:p>
    <w:p w14:paraId="1E457471" w14:textId="77777777" w:rsidR="009B6888" w:rsidRPr="00D71DFE" w:rsidRDefault="009B6888" w:rsidP="009B6888">
      <w:pPr>
        <w:rPr>
          <w:lang w:val="fr-FR"/>
        </w:rPr>
      </w:pPr>
      <w:r w:rsidRPr="00536451">
        <w:rPr>
          <w:b/>
          <w:bCs/>
        </w:rPr>
        <w:t xml:space="preserve">Philipson &amp; Durie. (2021). </w:t>
      </w:r>
      <w:r w:rsidRPr="00B4349E">
        <w:t>Issue Brief: The Evidence Base on The Impact of Price Controls on Medical Innovation. Working paper No. 2021-108. Becker Friedman Institute for Economics at UChicago.</w:t>
      </w:r>
      <w:r>
        <w:t xml:space="preserve">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https://bfi.uchicago.edu/wp-content/uploads/2021/09/BFI_WP_2021-108.pdf</w:t>
      </w:r>
    </w:p>
    <w:p w14:paraId="6990E47F" w14:textId="77777777" w:rsidR="009B6888" w:rsidRPr="00D71DFE" w:rsidRDefault="009B6888" w:rsidP="009B6888">
      <w:pPr>
        <w:rPr>
          <w:lang w:val="fr-FR"/>
        </w:rPr>
      </w:pPr>
      <w:r w:rsidRPr="00536451">
        <w:rPr>
          <w:b/>
          <w:bCs/>
        </w:rPr>
        <w:t>TLV. (2022).</w:t>
      </w:r>
      <w:r w:rsidRPr="00B4349E">
        <w:t xml:space="preserve"> International price comparison 2021: An analysis of Swedish pharmaceutical prices in relation to 19 other European countries.</w:t>
      </w:r>
      <w:r>
        <w:t xml:space="preserve"> </w:t>
      </w:r>
      <w:proofErr w:type="spellStart"/>
      <w:proofErr w:type="gramStart"/>
      <w:r w:rsidRPr="00D71DFE">
        <w:rPr>
          <w:lang w:val="fr-FR"/>
        </w:rPr>
        <w:t>Available</w:t>
      </w:r>
      <w:proofErr w:type="spellEnd"/>
      <w:r w:rsidRPr="00D71DFE">
        <w:rPr>
          <w:lang w:val="fr-FR"/>
        </w:rPr>
        <w:t>:</w:t>
      </w:r>
      <w:proofErr w:type="gramEnd"/>
      <w:r w:rsidRPr="00D71DFE">
        <w:rPr>
          <w:lang w:val="fr-FR"/>
        </w:rPr>
        <w:t xml:space="preserve"> https://www.tlv.se/download/18.9e9341817f9775950bd276/1647586496454/international_price_comparison_2021_107-2022.pdf</w:t>
      </w:r>
    </w:p>
    <w:p w14:paraId="769AC6FB" w14:textId="77777777" w:rsidR="009B6888" w:rsidRPr="00B4349E" w:rsidRDefault="009B6888" w:rsidP="009B6888">
      <w:r w:rsidRPr="00B4349E">
        <w:rPr>
          <w:b/>
          <w:bCs/>
        </w:rPr>
        <w:t>Wong, Siah &amp; Lo. (2019).</w:t>
      </w:r>
      <w:r>
        <w:t xml:space="preserve"> Estimation of clinical trial success rates and related parameters. Biostatistics, 1;20(2):273-286. Available:</w:t>
      </w:r>
      <w:r w:rsidRPr="00647026">
        <w:t xml:space="preserve"> https://www.ncbi.nlm.nih.gov/pmc/articles/PMC6409418/</w:t>
      </w:r>
    </w:p>
    <w:p w14:paraId="2AD08C23" w14:textId="77777777" w:rsidR="009B6888" w:rsidRPr="00B4349E" w:rsidRDefault="009B6888" w:rsidP="009B6888">
      <w:pPr>
        <w:pStyle w:val="Textonotapie"/>
        <w:jc w:val="both"/>
        <w:rPr>
          <w:sz w:val="22"/>
          <w:szCs w:val="22"/>
        </w:rPr>
      </w:pPr>
      <w:r w:rsidRPr="00B4349E">
        <w:rPr>
          <w:b/>
          <w:bCs/>
          <w:sz w:val="22"/>
          <w:szCs w:val="22"/>
        </w:rPr>
        <w:t>Wouters, McKee &amp; Luyten. (2020).</w:t>
      </w:r>
      <w:r w:rsidRPr="00B4349E">
        <w:rPr>
          <w:sz w:val="22"/>
          <w:szCs w:val="22"/>
        </w:rPr>
        <w:t xml:space="preserve"> Estimated Research and Development Investment Needed to Bring a New Medicine to Market, 2009-2018. JAMA, 323(9):844-853</w:t>
      </w:r>
      <w:r>
        <w:rPr>
          <w:sz w:val="22"/>
          <w:szCs w:val="22"/>
        </w:rPr>
        <w:t xml:space="preserve">. Available: </w:t>
      </w:r>
      <w:r w:rsidRPr="00647026">
        <w:rPr>
          <w:sz w:val="22"/>
          <w:szCs w:val="22"/>
        </w:rPr>
        <w:t>https://jamanetwork.com/journals/jama/fullarticle/2762311</w:t>
      </w:r>
    </w:p>
    <w:p w14:paraId="545EF7F9" w14:textId="0ED40C1A" w:rsidR="00D25BB5" w:rsidRPr="00C93DCD" w:rsidRDefault="00D25BB5" w:rsidP="009B6888"/>
    <w:sectPr w:rsidR="00D25BB5" w:rsidRPr="00C93DCD" w:rsidSect="008951E4">
      <w:footerReference w:type="default" r:id="rId15"/>
      <w:pgSz w:w="11906" w:h="16838" w:code="9"/>
      <w:pgMar w:top="1440" w:right="1440" w:bottom="1135" w:left="1440" w:header="709"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3F56" w14:textId="77777777" w:rsidR="00D910AA" w:rsidRDefault="00D910AA">
      <w:pPr>
        <w:spacing w:after="0" w:line="240" w:lineRule="auto"/>
      </w:pPr>
      <w:r>
        <w:separator/>
      </w:r>
    </w:p>
  </w:endnote>
  <w:endnote w:type="continuationSeparator" w:id="0">
    <w:p w14:paraId="643843C9" w14:textId="77777777" w:rsidR="00D910AA" w:rsidRDefault="00D910AA">
      <w:pPr>
        <w:spacing w:after="0" w:line="240" w:lineRule="auto"/>
      </w:pPr>
      <w:r>
        <w:continuationSeparator/>
      </w:r>
    </w:p>
  </w:endnote>
  <w:endnote w:type="continuationNotice" w:id="1">
    <w:p w14:paraId="16A6FE43" w14:textId="77777777" w:rsidR="00D910AA" w:rsidRDefault="00D91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824938"/>
      <w:docPartObj>
        <w:docPartGallery w:val="Page Numbers (Bottom of Page)"/>
        <w:docPartUnique/>
      </w:docPartObj>
    </w:sdtPr>
    <w:sdtEndPr>
      <w:rPr>
        <w:noProof/>
      </w:rPr>
    </w:sdtEndPr>
    <w:sdtContent>
      <w:p w14:paraId="38810E46" w14:textId="7AF0E4A8" w:rsidR="001A3956" w:rsidRDefault="00BF137D" w:rsidP="00555BB0">
        <w:pPr>
          <w:pStyle w:val="Piedepgina"/>
        </w:pPr>
        <w:r>
          <w:tab/>
        </w:r>
        <w:r>
          <w:tab/>
        </w:r>
        <w:r w:rsidR="001A3956">
          <w:fldChar w:fldCharType="begin"/>
        </w:r>
        <w:r w:rsidR="001A3956">
          <w:instrText xml:space="preserve"> PAGE   \* MERGEFORMAT </w:instrText>
        </w:r>
        <w:r w:rsidR="001A3956">
          <w:fldChar w:fldCharType="separate"/>
        </w:r>
        <w:r w:rsidR="001A3956">
          <w:rPr>
            <w:noProof/>
          </w:rPr>
          <w:t>2</w:t>
        </w:r>
        <w:r w:rsidR="001A3956">
          <w:rPr>
            <w:noProof/>
          </w:rPr>
          <w:fldChar w:fldCharType="end"/>
        </w:r>
      </w:p>
    </w:sdtContent>
  </w:sdt>
  <w:p w14:paraId="4E7818D4" w14:textId="6BB4FCF3" w:rsidR="001A3956" w:rsidRPr="004D4BF8" w:rsidRDefault="001A3956" w:rsidP="00BF137D">
    <w:pPr>
      <w:pStyle w:val="Piedepgina"/>
      <w:jc w:val="center"/>
      <w:rPr>
        <w:b/>
        <w:bCs/>
        <w:color w:val="C0504D" w:themeColor="accent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E568" w14:textId="77777777" w:rsidR="00D910AA" w:rsidRDefault="00D910AA">
      <w:pPr>
        <w:spacing w:after="0" w:line="240" w:lineRule="auto"/>
        <w:contextualSpacing/>
      </w:pPr>
      <w:r>
        <w:separator/>
      </w:r>
    </w:p>
  </w:footnote>
  <w:footnote w:type="continuationSeparator" w:id="0">
    <w:p w14:paraId="4275172B" w14:textId="77777777" w:rsidR="00D910AA" w:rsidRDefault="00D910AA">
      <w:pPr>
        <w:spacing w:after="0" w:line="240" w:lineRule="auto"/>
      </w:pPr>
      <w:r>
        <w:continuationSeparator/>
      </w:r>
    </w:p>
  </w:footnote>
  <w:footnote w:type="continuationNotice" w:id="1">
    <w:p w14:paraId="167A968F" w14:textId="77777777" w:rsidR="00D910AA" w:rsidRDefault="00D910AA">
      <w:pPr>
        <w:spacing w:after="0" w:line="240" w:lineRule="auto"/>
      </w:pPr>
    </w:p>
  </w:footnote>
  <w:footnote w:id="2">
    <w:p w14:paraId="787E16B1" w14:textId="6C442284" w:rsidR="00305E61" w:rsidRPr="00305E61" w:rsidRDefault="00305E61">
      <w:pPr>
        <w:pStyle w:val="Textonotapie"/>
      </w:pPr>
      <w:r>
        <w:rPr>
          <w:rStyle w:val="Refdenotaalpie"/>
        </w:rPr>
        <w:footnoteRef/>
      </w:r>
      <w:r w:rsidRPr="00D71DFE">
        <w:t xml:space="preserve"> European Commission. (2020). </w:t>
      </w:r>
      <w:r w:rsidRPr="00305E61">
        <w:t>A pharmaceutical strategy for Europe</w:t>
      </w:r>
      <w:r>
        <w:t xml:space="preserve">. </w:t>
      </w:r>
      <w:r w:rsidRPr="00305E61">
        <w:t xml:space="preserve">Available </w:t>
      </w:r>
      <w:hyperlink r:id="rId1" w:anchor=":~:text=Adopted%20on%2025%20November%202020,needs%20while%20addressing%20market%20failures." w:history="1">
        <w:r w:rsidRPr="00305E61">
          <w:rPr>
            <w:rStyle w:val="Hipervnculo"/>
          </w:rPr>
          <w:t>here</w:t>
        </w:r>
      </w:hyperlink>
    </w:p>
  </w:footnote>
  <w:footnote w:id="3">
    <w:p w14:paraId="70FB0420" w14:textId="0F0F66EB" w:rsidR="003F2478" w:rsidRPr="00D71DFE" w:rsidRDefault="003F2478">
      <w:pPr>
        <w:pStyle w:val="Textonotapie"/>
        <w:rPr>
          <w:lang w:val="en-US"/>
        </w:rPr>
      </w:pPr>
      <w:r>
        <w:rPr>
          <w:rStyle w:val="Refdenotaalpie"/>
        </w:rPr>
        <w:footnoteRef/>
      </w:r>
      <w:r>
        <w:t xml:space="preserve"> </w:t>
      </w:r>
      <w:r>
        <w:rPr>
          <w:lang w:val="en-US"/>
        </w:rPr>
        <w:t xml:space="preserve">European Commission. (2023). </w:t>
      </w:r>
      <w:r w:rsidRPr="003F2478">
        <w:rPr>
          <w:lang w:val="en-US"/>
        </w:rPr>
        <w:t>Reform of the EU pharmaceutical legislation</w:t>
      </w:r>
      <w:r>
        <w:rPr>
          <w:lang w:val="en-US"/>
        </w:rPr>
        <w:t xml:space="preserve">. Available </w:t>
      </w:r>
      <w:hyperlink r:id="rId2" w:history="1">
        <w:r w:rsidRPr="003F2478">
          <w:rPr>
            <w:rStyle w:val="Hipervnculo"/>
            <w:lang w:val="en-US"/>
          </w:rPr>
          <w:t>here</w:t>
        </w:r>
      </w:hyperlink>
      <w:r>
        <w:rPr>
          <w:lang w:val="en-US"/>
        </w:rPr>
        <w:t xml:space="preserve"> </w:t>
      </w:r>
    </w:p>
  </w:footnote>
  <w:footnote w:id="4">
    <w:p w14:paraId="729A3481" w14:textId="029A37D2" w:rsidR="00947FC2" w:rsidRPr="00947FC2" w:rsidRDefault="00947FC2" w:rsidP="006B25CA">
      <w:pPr>
        <w:pStyle w:val="Textonotapie"/>
        <w:jc w:val="both"/>
        <w:rPr>
          <w:lang w:val="en-US"/>
        </w:rPr>
      </w:pPr>
      <w:r>
        <w:rPr>
          <w:rStyle w:val="Refdenotaalpie"/>
        </w:rPr>
        <w:footnoteRef/>
      </w:r>
      <w:r>
        <w:t xml:space="preserve"> </w:t>
      </w:r>
      <w:r>
        <w:rPr>
          <w:lang w:val="en-US"/>
        </w:rPr>
        <w:t xml:space="preserve">EFPIA. (2023). </w:t>
      </w:r>
      <w:r w:rsidR="00A56772">
        <w:rPr>
          <w:lang w:val="en-US"/>
        </w:rPr>
        <w:t>Assessment of main provisions and key EFPIA recommendation on the revision of the pharmaceutical package.</w:t>
      </w:r>
      <w:r w:rsidR="006B25CA">
        <w:rPr>
          <w:lang w:val="en-US"/>
        </w:rPr>
        <w:t xml:space="preserve"> </w:t>
      </w:r>
      <w:r w:rsidR="00007E0B">
        <w:rPr>
          <w:lang w:val="en-US"/>
        </w:rPr>
        <w:t xml:space="preserve">Available </w:t>
      </w:r>
      <w:hyperlink r:id="rId3" w:history="1">
        <w:r w:rsidR="00007E0B" w:rsidRPr="00007E0B">
          <w:rPr>
            <w:rStyle w:val="Hipervnculo"/>
            <w:lang w:val="en-US"/>
          </w:rPr>
          <w:t>here</w:t>
        </w:r>
      </w:hyperlink>
      <w:r w:rsidR="00007E0B">
        <w:rPr>
          <w:lang w:val="en-US"/>
        </w:rPr>
        <w:t xml:space="preserve"> </w:t>
      </w:r>
    </w:p>
  </w:footnote>
  <w:footnote w:id="5">
    <w:p w14:paraId="75D164DB" w14:textId="6AB872A2" w:rsidR="00A56772" w:rsidRPr="00A56772" w:rsidRDefault="00A56772" w:rsidP="006B25CA">
      <w:pPr>
        <w:pStyle w:val="Textonotapie"/>
        <w:jc w:val="both"/>
      </w:pPr>
      <w:r>
        <w:rPr>
          <w:rStyle w:val="Refdenotaalpie"/>
        </w:rPr>
        <w:footnoteRef/>
      </w:r>
      <w:r>
        <w:t xml:space="preserve"> European Commission. (2023). </w:t>
      </w:r>
      <w:r w:rsidRPr="00A56772">
        <w:t>Impact assessment report and executive summary accompanying the revision of the general pharmaceutical legislation</w:t>
      </w:r>
      <w:r>
        <w:t xml:space="preserve">. Available </w:t>
      </w:r>
      <w:hyperlink r:id="rId4" w:history="1">
        <w:r w:rsidRPr="00A56772">
          <w:rPr>
            <w:rStyle w:val="Hipervnculo"/>
          </w:rPr>
          <w:t>here</w:t>
        </w:r>
      </w:hyperlink>
      <w:r>
        <w:t xml:space="preserve"> </w:t>
      </w:r>
    </w:p>
  </w:footnote>
  <w:footnote w:id="6">
    <w:p w14:paraId="1044D0AE" w14:textId="4F0F100E" w:rsidR="00C468B8" w:rsidRPr="00C468B8" w:rsidRDefault="00C468B8" w:rsidP="00F62698">
      <w:pPr>
        <w:pStyle w:val="Textonotapie"/>
        <w:jc w:val="both"/>
        <w:rPr>
          <w:lang w:val="en-US"/>
        </w:rPr>
      </w:pPr>
      <w:r>
        <w:rPr>
          <w:rStyle w:val="Refdenotaalpie"/>
        </w:rPr>
        <w:footnoteRef/>
      </w:r>
      <w:r>
        <w:t xml:space="preserve"> </w:t>
      </w:r>
      <w:r>
        <w:rPr>
          <w:lang w:val="en-US"/>
        </w:rPr>
        <w:t xml:space="preserve">LEK Consulting, RAND Europe and </w:t>
      </w:r>
      <w:proofErr w:type="spellStart"/>
      <w:r>
        <w:rPr>
          <w:lang w:val="en-US"/>
        </w:rPr>
        <w:t>SiRM</w:t>
      </w:r>
      <w:proofErr w:type="spellEnd"/>
      <w:r>
        <w:rPr>
          <w:lang w:val="en-US"/>
        </w:rPr>
        <w:t xml:space="preserve">. Special report commissioned by </w:t>
      </w:r>
      <w:r>
        <w:t>Dutch Ministry of Health, Welfare and Sports</w:t>
      </w:r>
      <w:r>
        <w:rPr>
          <w:lang w:val="en-US"/>
        </w:rPr>
        <w:t xml:space="preserve">. (2022). </w:t>
      </w:r>
      <w:r>
        <w:t xml:space="preserve">The financial ecosystem of pharmaceutical R&amp;D: An evidence base to inform further dialogue. </w:t>
      </w:r>
      <w:r>
        <w:rPr>
          <w:lang w:val="en-US"/>
        </w:rPr>
        <w:t xml:space="preserve">Available </w:t>
      </w:r>
      <w:hyperlink r:id="rId5" w:history="1">
        <w:hyperlink r:id="rId6" w:history="1">
          <w:r w:rsidRPr="00C468B8">
            <w:rPr>
              <w:rStyle w:val="Hipervnculo"/>
              <w:lang w:val="en-US"/>
            </w:rPr>
            <w:t>here</w:t>
          </w:r>
        </w:hyperlink>
      </w:hyperlink>
    </w:p>
  </w:footnote>
  <w:footnote w:id="7">
    <w:p w14:paraId="1F085892" w14:textId="21D11364" w:rsidR="00C468B8" w:rsidRPr="00C468B8" w:rsidRDefault="00C468B8" w:rsidP="00F62698">
      <w:pPr>
        <w:pStyle w:val="Textonotapie"/>
        <w:jc w:val="both"/>
      </w:pPr>
      <w:r>
        <w:rPr>
          <w:rStyle w:val="Refdenotaalpie"/>
        </w:rPr>
        <w:footnoteRef/>
      </w:r>
      <w:r>
        <w:t xml:space="preserve"> </w:t>
      </w:r>
      <w:r w:rsidR="00C73B2E">
        <w:rPr>
          <w:lang w:val="en-US"/>
        </w:rPr>
        <w:t xml:space="preserve">Dolon. (2020). </w:t>
      </w:r>
      <w:r w:rsidR="00C73B2E">
        <w:t>Estimated impact of EU Orphan Regulation on incentives for innovation</w:t>
      </w:r>
      <w:r w:rsidR="00C73B2E">
        <w:rPr>
          <w:lang w:val="en-US"/>
        </w:rPr>
        <w:t xml:space="preserve">. Available </w:t>
      </w:r>
      <w:hyperlink r:id="rId7" w:history="1">
        <w:r w:rsidR="00C73B2E" w:rsidRPr="00460441">
          <w:rPr>
            <w:rStyle w:val="Hipervnculo"/>
            <w:lang w:val="en-US"/>
          </w:rPr>
          <w:t>here</w:t>
        </w:r>
      </w:hyperlink>
    </w:p>
  </w:footnote>
  <w:footnote w:id="8">
    <w:p w14:paraId="060031BA" w14:textId="6354EBD7" w:rsidR="00C468B8" w:rsidRPr="00C468B8" w:rsidRDefault="00C468B8" w:rsidP="00F62698">
      <w:pPr>
        <w:pStyle w:val="Textonotapie"/>
        <w:jc w:val="both"/>
      </w:pPr>
      <w:r>
        <w:rPr>
          <w:rStyle w:val="Refdenotaalpie"/>
        </w:rPr>
        <w:footnoteRef/>
      </w:r>
      <w:r>
        <w:t xml:space="preserve"> Dolon. (2023). </w:t>
      </w:r>
      <w:r w:rsidR="00C73B2E">
        <w:t xml:space="preserve">Revision of the Orphan Regulation: Estimated impact on incentives for innovation of changes proposed by the European Commission. </w:t>
      </w:r>
      <w:r>
        <w:t xml:space="preserve">Available </w:t>
      </w:r>
      <w:hyperlink r:id="rId8" w:history="1">
        <w:r w:rsidRPr="00C468B8">
          <w:rPr>
            <w:rStyle w:val="Hipervnculo"/>
          </w:rPr>
          <w:t>here</w:t>
        </w:r>
      </w:hyperlink>
    </w:p>
  </w:footnote>
  <w:footnote w:id="9">
    <w:p w14:paraId="35253303" w14:textId="3C641BA4" w:rsidR="00C468B8" w:rsidRPr="00C468B8" w:rsidRDefault="00C468B8" w:rsidP="00F62698">
      <w:pPr>
        <w:pStyle w:val="Textonotapie"/>
        <w:jc w:val="both"/>
        <w:rPr>
          <w:lang w:val="en-US"/>
        </w:rPr>
      </w:pPr>
      <w:r>
        <w:rPr>
          <w:rStyle w:val="Refdenotaalpie"/>
        </w:rPr>
        <w:footnoteRef/>
      </w:r>
      <w:r>
        <w:t xml:space="preserve"> </w:t>
      </w:r>
      <w:r>
        <w:rPr>
          <w:lang w:val="en-US"/>
        </w:rPr>
        <w:t>For example, an analysis of the impact of the Inflation Reduction Act in the US. LEK.</w:t>
      </w:r>
      <w:r w:rsidR="00C73B2E">
        <w:rPr>
          <w:lang w:val="en-US"/>
        </w:rPr>
        <w:t xml:space="preserve"> (2022).</w:t>
      </w:r>
      <w:r>
        <w:rPr>
          <w:lang w:val="en-US"/>
        </w:rPr>
        <w:t xml:space="preserve"> </w:t>
      </w:r>
      <w:r w:rsidRPr="00C468B8">
        <w:rPr>
          <w:lang w:val="en-US"/>
        </w:rPr>
        <w:t>How the Inflation Reduction Act Will Impact the Biopharmaceutical Industry</w:t>
      </w:r>
      <w:r>
        <w:rPr>
          <w:lang w:val="en-US"/>
        </w:rPr>
        <w:t xml:space="preserve">. Available </w:t>
      </w:r>
      <w:hyperlink r:id="rId9" w:history="1">
        <w:r w:rsidRPr="00C468B8">
          <w:rPr>
            <w:rStyle w:val="Hipervnculo"/>
            <w:lang w:val="en-US"/>
          </w:rPr>
          <w:t>here</w:t>
        </w:r>
      </w:hyperlink>
    </w:p>
  </w:footnote>
  <w:footnote w:id="10">
    <w:p w14:paraId="32562239" w14:textId="7BC3FB79" w:rsidR="00CF4530" w:rsidRPr="00D71DFE" w:rsidRDefault="00CF4530">
      <w:pPr>
        <w:pStyle w:val="Textonotapie"/>
        <w:rPr>
          <w:lang w:val="en-US"/>
        </w:rPr>
      </w:pPr>
      <w:r>
        <w:rPr>
          <w:rStyle w:val="Refdenotaalpie"/>
        </w:rPr>
        <w:footnoteRef/>
      </w:r>
      <w:r>
        <w:t xml:space="preserve"> In other words, we focus on products that exclusively rely on RDP for IP protection. It should be noted that RDP also provides a critical form of IP protection</w:t>
      </w:r>
      <w:r w:rsidRPr="00CF4530">
        <w:t xml:space="preserve"> for products where </w:t>
      </w:r>
      <w:r>
        <w:t xml:space="preserve">the </w:t>
      </w:r>
      <w:r w:rsidRPr="00CF4530">
        <w:t>patent provides longer exclusivity than RDP, as patents are more uncertain and challengeable.</w:t>
      </w:r>
    </w:p>
  </w:footnote>
  <w:footnote w:id="11">
    <w:p w14:paraId="3FFD1397" w14:textId="51E04AD2" w:rsidR="001178BB" w:rsidRPr="001178BB" w:rsidRDefault="001178BB" w:rsidP="001178BB">
      <w:pPr>
        <w:pStyle w:val="Textonotapie"/>
        <w:jc w:val="both"/>
        <w:rPr>
          <w:lang w:val="en-US"/>
        </w:rPr>
      </w:pPr>
      <w:r>
        <w:rPr>
          <w:rStyle w:val="Refdenotaalpie"/>
        </w:rPr>
        <w:footnoteRef/>
      </w:r>
      <w:r>
        <w:t xml:space="preserve"> </w:t>
      </w:r>
      <w:r w:rsidR="00C943D3">
        <w:t xml:space="preserve">See Table 3 p. 38. </w:t>
      </w:r>
      <w:r>
        <w:rPr>
          <w:lang w:val="en-US"/>
        </w:rPr>
        <w:t xml:space="preserve">European Commission. (2023). Staff Working Document – Impact Assessment report. Available </w:t>
      </w:r>
      <w:hyperlink r:id="rId10" w:history="1">
        <w:r w:rsidRPr="00EF4D09">
          <w:rPr>
            <w:rStyle w:val="Hipervnculo"/>
            <w:lang w:val="en-US"/>
          </w:rPr>
          <w:t>here</w:t>
        </w:r>
      </w:hyperlink>
    </w:p>
  </w:footnote>
  <w:footnote w:id="12">
    <w:p w14:paraId="4EC8448B" w14:textId="77777777" w:rsidR="00E5408A" w:rsidRPr="00460441" w:rsidRDefault="00E5408A" w:rsidP="00690AE8">
      <w:pPr>
        <w:pStyle w:val="Textonotapie"/>
        <w:jc w:val="both"/>
        <w:rPr>
          <w:lang w:val="en-US"/>
        </w:rPr>
      </w:pPr>
      <w:r>
        <w:rPr>
          <w:rStyle w:val="Refdenotaalpie"/>
        </w:rPr>
        <w:footnoteRef/>
      </w:r>
      <w:r>
        <w:t xml:space="preserve"> </w:t>
      </w:r>
      <w:r>
        <w:rPr>
          <w:lang w:val="en-US"/>
        </w:rPr>
        <w:t xml:space="preserve">Dolon. (2020). </w:t>
      </w:r>
      <w:r>
        <w:t>Estimated impact of EU Orphan Regulation on incentives for innovation</w:t>
      </w:r>
      <w:r>
        <w:rPr>
          <w:lang w:val="en-US"/>
        </w:rPr>
        <w:t xml:space="preserve">. Available </w:t>
      </w:r>
      <w:hyperlink r:id="rId11" w:history="1">
        <w:r w:rsidRPr="00460441">
          <w:rPr>
            <w:rStyle w:val="Hipervnculo"/>
            <w:lang w:val="en-US"/>
          </w:rPr>
          <w:t>here</w:t>
        </w:r>
      </w:hyperlink>
    </w:p>
  </w:footnote>
  <w:footnote w:id="13">
    <w:p w14:paraId="7FECD191" w14:textId="2A90A91A" w:rsidR="00B45F7D" w:rsidRPr="00D71DFE" w:rsidRDefault="00B45F7D">
      <w:pPr>
        <w:pStyle w:val="Textonotapie"/>
        <w:rPr>
          <w:lang w:val="en-US"/>
        </w:rPr>
      </w:pPr>
      <w:r>
        <w:rPr>
          <w:rStyle w:val="Refdenotaalpie"/>
        </w:rPr>
        <w:footnoteRef/>
      </w:r>
      <w:r>
        <w:t xml:space="preserve"> Interestingly, these sales are estimated based on public, list prices, as stated in the Technopolis assessment. Actual revenue, reflective of net prices as well as clawbacks and other schemes aimed at managing country expenditure, is likely to be (significantly) lower.</w:t>
      </w:r>
    </w:p>
  </w:footnote>
  <w:footnote w:id="14">
    <w:p w14:paraId="306EE5D0" w14:textId="6F0184E5" w:rsidR="00EF4D09" w:rsidRPr="00EF4D09" w:rsidRDefault="00EF4D09" w:rsidP="007B0CD2">
      <w:pPr>
        <w:pStyle w:val="Textonotapie"/>
        <w:jc w:val="both"/>
        <w:rPr>
          <w:lang w:val="en-US"/>
        </w:rPr>
      </w:pPr>
      <w:r>
        <w:rPr>
          <w:rStyle w:val="Refdenotaalpie"/>
        </w:rPr>
        <w:footnoteRef/>
      </w:r>
      <w:r>
        <w:t xml:space="preserve"> </w:t>
      </w:r>
      <w:r>
        <w:rPr>
          <w:lang w:val="en-US"/>
        </w:rPr>
        <w:t xml:space="preserve">European Commission. (2023). Staff Working Document – Impact Assessment report. Available </w:t>
      </w:r>
      <w:hyperlink r:id="rId12" w:history="1">
        <w:r w:rsidRPr="00EF4D09">
          <w:rPr>
            <w:rStyle w:val="Hipervnculo"/>
            <w:lang w:val="en-US"/>
          </w:rPr>
          <w:t>here</w:t>
        </w:r>
      </w:hyperlink>
    </w:p>
  </w:footnote>
  <w:footnote w:id="15">
    <w:p w14:paraId="77D8FC78" w14:textId="11E73419" w:rsidR="009718E7" w:rsidRPr="009718E7" w:rsidRDefault="009718E7">
      <w:pPr>
        <w:pStyle w:val="Textonotapie"/>
      </w:pPr>
      <w:r w:rsidRPr="00DC5680">
        <w:rPr>
          <w:rStyle w:val="Refdenotaalpie"/>
        </w:rPr>
        <w:footnoteRef/>
      </w:r>
      <w:r w:rsidRPr="00DC5680">
        <w:t xml:space="preserve"> </w:t>
      </w:r>
      <w:r w:rsidRPr="00DC5680">
        <w:rPr>
          <w:lang w:val="en-US"/>
        </w:rPr>
        <w:t>This additional year of protection for indication expansion is not automatic and only granted in relevant cases where the regulator agrees the standard is met.</w:t>
      </w:r>
    </w:p>
  </w:footnote>
  <w:footnote w:id="16">
    <w:p w14:paraId="43366E07" w14:textId="0A1A2D58" w:rsidR="00EF4D09" w:rsidRPr="00EF4D09" w:rsidRDefault="00EF4D09" w:rsidP="007B0CD2">
      <w:pPr>
        <w:pStyle w:val="Textonotapie"/>
        <w:jc w:val="both"/>
        <w:rPr>
          <w:lang w:val="en-US"/>
        </w:rPr>
      </w:pPr>
      <w:r>
        <w:rPr>
          <w:rStyle w:val="Refdenotaalpie"/>
        </w:rPr>
        <w:footnoteRef/>
      </w:r>
      <w:r>
        <w:t xml:space="preserve"> </w:t>
      </w:r>
      <w:r w:rsidRPr="00EF4D09">
        <w:t>Wouters, McKee</w:t>
      </w:r>
      <w:r>
        <w:t xml:space="preserve"> &amp;</w:t>
      </w:r>
      <w:r w:rsidRPr="00EF4D09">
        <w:t xml:space="preserve"> Luyten.</w:t>
      </w:r>
      <w:r>
        <w:t xml:space="preserve"> (2020).</w:t>
      </w:r>
      <w:r w:rsidRPr="00EF4D09">
        <w:t xml:space="preserve"> Estimated Research and Development Investment Needed to Bring a New Medicine to Market, 2009-2018. </w:t>
      </w:r>
      <w:r w:rsidRPr="00EF4D09">
        <w:rPr>
          <w:i/>
          <w:iCs/>
        </w:rPr>
        <w:t>JAMA</w:t>
      </w:r>
      <w:r>
        <w:t xml:space="preserve">, </w:t>
      </w:r>
      <w:r w:rsidRPr="00EF4D09">
        <w:t>323(9):844-853</w:t>
      </w:r>
    </w:p>
  </w:footnote>
  <w:footnote w:id="17">
    <w:p w14:paraId="1E8803E7" w14:textId="7E10E63E" w:rsidR="00EF4D09" w:rsidRPr="00EF4D09" w:rsidRDefault="00EF4D09" w:rsidP="007B0CD2">
      <w:pPr>
        <w:pStyle w:val="Textonotapie"/>
        <w:jc w:val="both"/>
        <w:rPr>
          <w:lang w:val="en-US"/>
        </w:rPr>
      </w:pPr>
      <w:r>
        <w:rPr>
          <w:rStyle w:val="Refdenotaalpie"/>
        </w:rPr>
        <w:footnoteRef/>
      </w:r>
      <w:r>
        <w:t xml:space="preserve"> </w:t>
      </w:r>
      <w:r w:rsidR="00171604">
        <w:t xml:space="preserve">EFPIA. (2023). The Pharmaceutical Industry in Figures. Available </w:t>
      </w:r>
      <w:hyperlink r:id="rId13" w:history="1">
        <w:r w:rsidR="00171604" w:rsidRPr="00171604">
          <w:rPr>
            <w:rStyle w:val="Hipervnculo"/>
          </w:rPr>
          <w:t>here</w:t>
        </w:r>
      </w:hyperlink>
    </w:p>
  </w:footnote>
  <w:footnote w:id="18">
    <w:p w14:paraId="3A01B766" w14:textId="4D4F1342" w:rsidR="007B0CD2" w:rsidRPr="007B0CD2" w:rsidRDefault="007B0CD2" w:rsidP="007B0CD2">
      <w:pPr>
        <w:pStyle w:val="Textonotapie"/>
        <w:jc w:val="both"/>
      </w:pPr>
      <w:r>
        <w:rPr>
          <w:rStyle w:val="Refdenotaalpie"/>
        </w:rPr>
        <w:footnoteRef/>
      </w:r>
      <w:r>
        <w:t xml:space="preserve"> See Dolon reports on the impact of revisions to the Orphan Regulation, available </w:t>
      </w:r>
      <w:hyperlink r:id="rId14" w:history="1">
        <w:r w:rsidRPr="00180A1F">
          <w:rPr>
            <w:rStyle w:val="Hipervnculo"/>
          </w:rPr>
          <w:t>here</w:t>
        </w:r>
      </w:hyperlink>
      <w:r>
        <w:t xml:space="preserve"> and </w:t>
      </w:r>
      <w:hyperlink r:id="rId15" w:history="1">
        <w:r w:rsidRPr="00180A1F">
          <w:rPr>
            <w:rStyle w:val="Hipervnculo"/>
          </w:rPr>
          <w:t>here</w:t>
        </w:r>
      </w:hyperlink>
    </w:p>
  </w:footnote>
  <w:footnote w:id="19">
    <w:p w14:paraId="336B75F6" w14:textId="4CDA6B0D" w:rsidR="00C4226F" w:rsidRPr="00C4226F" w:rsidRDefault="00C4226F" w:rsidP="00A86793">
      <w:pPr>
        <w:pStyle w:val="Textonotapie"/>
        <w:rPr>
          <w:lang w:val="en-US"/>
        </w:rPr>
      </w:pPr>
      <w:r>
        <w:rPr>
          <w:rStyle w:val="Refdenotaalpie"/>
        </w:rPr>
        <w:footnoteRef/>
      </w:r>
      <w:r>
        <w:t xml:space="preserve"> </w:t>
      </w:r>
      <w:r>
        <w:rPr>
          <w:lang w:val="en-US"/>
        </w:rPr>
        <w:t xml:space="preserve">Data on file. </w:t>
      </w:r>
      <w:r w:rsidR="00A86793">
        <w:rPr>
          <w:lang w:val="en-US"/>
        </w:rPr>
        <w:t>List of products extracted by IQVIA from ARK Patent Intelligence for the 2022 study ‘</w:t>
      </w:r>
      <w:r w:rsidR="00A86793" w:rsidRPr="00A86793">
        <w:rPr>
          <w:lang w:val="en-US"/>
        </w:rPr>
        <w:t>Protection Expiry and Journey into the Market</w:t>
      </w:r>
      <w:r w:rsidR="00A86793">
        <w:rPr>
          <w:lang w:val="en-US"/>
        </w:rPr>
        <w:t xml:space="preserve">: </w:t>
      </w:r>
      <w:r w:rsidR="00A86793" w:rsidRPr="00A86793">
        <w:rPr>
          <w:lang w:val="en-US"/>
        </w:rPr>
        <w:t>Pharmaceutical products in Europe</w:t>
      </w:r>
      <w:r w:rsidR="00A86793">
        <w:rPr>
          <w:lang w:val="en-US"/>
        </w:rPr>
        <w:t xml:space="preserve">’, available </w:t>
      </w:r>
      <w:hyperlink r:id="rId16" w:history="1">
        <w:r w:rsidR="00A86793" w:rsidRPr="00A86793">
          <w:rPr>
            <w:rStyle w:val="Hipervnculo"/>
            <w:lang w:val="en-US"/>
          </w:rPr>
          <w:t>here</w:t>
        </w:r>
      </w:hyperlink>
    </w:p>
  </w:footnote>
  <w:footnote w:id="20">
    <w:p w14:paraId="25FBF66F" w14:textId="611BD7BD" w:rsidR="00E87EFA" w:rsidRPr="00D71DFE" w:rsidRDefault="00E87EFA">
      <w:pPr>
        <w:pStyle w:val="Textonotapie"/>
        <w:rPr>
          <w:lang w:val="en-US"/>
        </w:rPr>
      </w:pPr>
      <w:r>
        <w:rPr>
          <w:rStyle w:val="Refdenotaalpie"/>
        </w:rPr>
        <w:footnoteRef/>
      </w:r>
      <w:r>
        <w:t xml:space="preserve"> </w:t>
      </w:r>
      <w:r>
        <w:rPr>
          <w:lang w:val="en-US"/>
        </w:rPr>
        <w:t>Discussion with EFPIA Members highlighted that RDP products tend to be the most difficult and lengthiest to develop. In the absence of published literature to support this, we used industry averages for time and cost of R&amp;D, as well as risk. These estimates are thus likely conservative ones.</w:t>
      </w:r>
    </w:p>
  </w:footnote>
  <w:footnote w:id="21">
    <w:p w14:paraId="22979560" w14:textId="7D4E5D24" w:rsidR="00171604" w:rsidRPr="00171604" w:rsidRDefault="00171604" w:rsidP="007B0CD2">
      <w:pPr>
        <w:pStyle w:val="Textonotapie"/>
        <w:jc w:val="both"/>
      </w:pPr>
      <w:r>
        <w:rPr>
          <w:rStyle w:val="Refdenotaalpie"/>
        </w:rPr>
        <w:footnoteRef/>
      </w:r>
      <w:r>
        <w:t xml:space="preserve"> </w:t>
      </w:r>
      <w:r w:rsidRPr="00171604">
        <w:t>Wong, Siah</w:t>
      </w:r>
      <w:r>
        <w:t xml:space="preserve"> &amp; </w:t>
      </w:r>
      <w:r w:rsidRPr="00171604">
        <w:t>Lo</w:t>
      </w:r>
      <w:r>
        <w:t>. (2019).</w:t>
      </w:r>
      <w:r w:rsidRPr="00171604">
        <w:t xml:space="preserve"> Estimation of clinical trial success rates and related parameters. </w:t>
      </w:r>
      <w:r w:rsidRPr="00171604">
        <w:rPr>
          <w:i/>
          <w:iCs/>
        </w:rPr>
        <w:t>Biostatistics</w:t>
      </w:r>
      <w:r>
        <w:t xml:space="preserve">, </w:t>
      </w:r>
      <w:r w:rsidRPr="00171604">
        <w:t>1;20(2):273-286.</w:t>
      </w:r>
      <w:r w:rsidR="00E4614A">
        <w:t xml:space="preserve"> Available: </w:t>
      </w:r>
      <w:hyperlink r:id="rId17" w:history="1">
        <w:r w:rsidR="00E4614A" w:rsidRPr="00E4614A">
          <w:rPr>
            <w:rStyle w:val="Hipervnculo"/>
          </w:rPr>
          <w:t>here</w:t>
        </w:r>
      </w:hyperlink>
    </w:p>
  </w:footnote>
  <w:footnote w:id="22">
    <w:p w14:paraId="0E8F00E2" w14:textId="4E139963" w:rsidR="00AE7F63" w:rsidRPr="00AE7F63" w:rsidRDefault="00AE7F63" w:rsidP="00AE7F63">
      <w:pPr>
        <w:pStyle w:val="Textonotapie"/>
        <w:jc w:val="both"/>
        <w:rPr>
          <w:lang w:val="en-US"/>
        </w:rPr>
      </w:pPr>
      <w:r>
        <w:rPr>
          <w:rStyle w:val="Refdenotaalpie"/>
        </w:rPr>
        <w:footnoteRef/>
      </w:r>
      <w:r>
        <w:t xml:space="preserve"> </w:t>
      </w:r>
      <w:r w:rsidRPr="00171604">
        <w:t>Wong, Siah</w:t>
      </w:r>
      <w:r>
        <w:t xml:space="preserve"> &amp; </w:t>
      </w:r>
      <w:r w:rsidRPr="00171604">
        <w:t>Lo</w:t>
      </w:r>
      <w:r>
        <w:t>. (2019).</w:t>
      </w:r>
      <w:r w:rsidRPr="00171604">
        <w:t xml:space="preserve"> Estimation of clinical trial success rates and related parameters. </w:t>
      </w:r>
      <w:r w:rsidRPr="00171604">
        <w:rPr>
          <w:i/>
          <w:iCs/>
        </w:rPr>
        <w:t>Biostatistics</w:t>
      </w:r>
      <w:r>
        <w:t xml:space="preserve">, </w:t>
      </w:r>
      <w:r w:rsidRPr="00171604">
        <w:t>1;20(2):273-286.</w:t>
      </w:r>
      <w:r w:rsidR="00E4614A" w:rsidRPr="00E4614A">
        <w:t xml:space="preserve"> </w:t>
      </w:r>
      <w:r w:rsidR="00E4614A">
        <w:t xml:space="preserve">Available: </w:t>
      </w:r>
      <w:hyperlink r:id="rId18" w:history="1">
        <w:r w:rsidR="00E4614A" w:rsidRPr="00E4614A">
          <w:rPr>
            <w:rStyle w:val="Hipervnculo"/>
          </w:rPr>
          <w:t>here</w:t>
        </w:r>
      </w:hyperlink>
    </w:p>
  </w:footnote>
  <w:footnote w:id="23">
    <w:p w14:paraId="630BC90E" w14:textId="55AD619F" w:rsidR="00EF4D09" w:rsidRPr="00EF4D09" w:rsidRDefault="00EF4D09" w:rsidP="00D74F80">
      <w:pPr>
        <w:pStyle w:val="Textonotapie"/>
        <w:jc w:val="both"/>
        <w:rPr>
          <w:lang w:val="en-US"/>
        </w:rPr>
      </w:pPr>
      <w:r>
        <w:rPr>
          <w:rStyle w:val="Refdenotaalpie"/>
        </w:rPr>
        <w:footnoteRef/>
      </w:r>
      <w:r w:rsidRPr="009B5E41">
        <w:t xml:space="preserve"> </w:t>
      </w:r>
      <w:r w:rsidR="009B5E41" w:rsidRPr="009B5E41">
        <w:t>Lythgoe et al. (2</w:t>
      </w:r>
      <w:r w:rsidR="009B5E41">
        <w:t xml:space="preserve">022). </w:t>
      </w:r>
      <w:r w:rsidR="009B5E41" w:rsidRPr="009B5E41">
        <w:t xml:space="preserve">Cancer Therapy Approval Timings, Review Speed, and Publication of Pivotal Registration Trials in the US and Europe, 2010-2019. </w:t>
      </w:r>
      <w:r w:rsidR="009B5E41" w:rsidRPr="009B5E41">
        <w:rPr>
          <w:i/>
          <w:iCs/>
        </w:rPr>
        <w:t xml:space="preserve">JAMA </w:t>
      </w:r>
      <w:proofErr w:type="spellStart"/>
      <w:r w:rsidR="009B5E41" w:rsidRPr="009B5E41">
        <w:rPr>
          <w:i/>
          <w:iCs/>
        </w:rPr>
        <w:t>Netw</w:t>
      </w:r>
      <w:proofErr w:type="spellEnd"/>
      <w:r w:rsidR="009B5E41" w:rsidRPr="009B5E41">
        <w:rPr>
          <w:i/>
          <w:iCs/>
        </w:rPr>
        <w:t xml:space="preserve"> Open</w:t>
      </w:r>
      <w:r w:rsidR="009B5E41">
        <w:t xml:space="preserve">, </w:t>
      </w:r>
      <w:r w:rsidR="009B5E41" w:rsidRPr="009B5E41">
        <w:t>5(6</w:t>
      </w:r>
      <w:proofErr w:type="gramStart"/>
      <w:r w:rsidR="009B5E41" w:rsidRPr="009B5E41">
        <w:t>):e</w:t>
      </w:r>
      <w:proofErr w:type="gramEnd"/>
      <w:r w:rsidR="009B5E41" w:rsidRPr="009B5E41">
        <w:t>2216183.</w:t>
      </w:r>
    </w:p>
  </w:footnote>
  <w:footnote w:id="24">
    <w:p w14:paraId="02B880C2" w14:textId="664A320D" w:rsidR="00EF4D09" w:rsidRPr="00EF4D09" w:rsidRDefault="00EF4D09" w:rsidP="00D74F80">
      <w:pPr>
        <w:pStyle w:val="Textonotapie"/>
        <w:jc w:val="both"/>
        <w:rPr>
          <w:lang w:val="en-US"/>
        </w:rPr>
      </w:pPr>
      <w:r>
        <w:rPr>
          <w:rStyle w:val="Refdenotaalpie"/>
        </w:rPr>
        <w:footnoteRef/>
      </w:r>
      <w:r>
        <w:t xml:space="preserve"> </w:t>
      </w:r>
      <w:r>
        <w:rPr>
          <w:lang w:val="en-US"/>
        </w:rPr>
        <w:t xml:space="preserve">IQVIA. (2023). </w:t>
      </w:r>
      <w:r>
        <w:t xml:space="preserve">EFPIA Patients W.A.I.T. Indicator 2022 Survey. Available </w:t>
      </w:r>
      <w:hyperlink r:id="rId19" w:history="1">
        <w:r w:rsidRPr="00EF4D09">
          <w:rPr>
            <w:rStyle w:val="Hipervnculo"/>
          </w:rPr>
          <w:t>here</w:t>
        </w:r>
      </w:hyperlink>
    </w:p>
  </w:footnote>
  <w:footnote w:id="25">
    <w:p w14:paraId="2E1F3884" w14:textId="24F104BA" w:rsidR="00180A1F" w:rsidRPr="00180A1F" w:rsidRDefault="00180A1F" w:rsidP="00D74F80">
      <w:pPr>
        <w:pStyle w:val="Textonotapie"/>
        <w:jc w:val="both"/>
        <w:rPr>
          <w:lang w:val="en-US"/>
        </w:rPr>
      </w:pPr>
      <w:r>
        <w:rPr>
          <w:rStyle w:val="Refdenotaalpie"/>
        </w:rPr>
        <w:footnoteRef/>
      </w:r>
      <w:r>
        <w:t xml:space="preserve"> See Dolon reports on the impact of revisions to the Orphan Regulation, available </w:t>
      </w:r>
      <w:hyperlink r:id="rId20" w:history="1">
        <w:r w:rsidRPr="00180A1F">
          <w:rPr>
            <w:rStyle w:val="Hipervnculo"/>
          </w:rPr>
          <w:t>here</w:t>
        </w:r>
      </w:hyperlink>
      <w:r>
        <w:t xml:space="preserve"> and </w:t>
      </w:r>
      <w:hyperlink r:id="rId21" w:history="1">
        <w:r w:rsidRPr="00180A1F">
          <w:rPr>
            <w:rStyle w:val="Hipervnculo"/>
          </w:rPr>
          <w:t>here</w:t>
        </w:r>
      </w:hyperlink>
    </w:p>
  </w:footnote>
  <w:footnote w:id="26">
    <w:p w14:paraId="51D7C218" w14:textId="21B3C9AD" w:rsidR="00180A1F" w:rsidRPr="00180A1F" w:rsidRDefault="00180A1F" w:rsidP="00D74F80">
      <w:pPr>
        <w:pStyle w:val="Textonotapie"/>
        <w:jc w:val="both"/>
        <w:rPr>
          <w:lang w:val="en-US"/>
        </w:rPr>
      </w:pPr>
      <w:r>
        <w:rPr>
          <w:rStyle w:val="Refdenotaalpie"/>
        </w:rPr>
        <w:footnoteRef/>
      </w:r>
      <w:r>
        <w:t xml:space="preserve"> </w:t>
      </w:r>
      <w:r w:rsidRPr="00EF4D09">
        <w:t>Wouters, McKee</w:t>
      </w:r>
      <w:r>
        <w:t xml:space="preserve"> &amp;</w:t>
      </w:r>
      <w:r w:rsidRPr="00EF4D09">
        <w:t xml:space="preserve"> Luyten.</w:t>
      </w:r>
      <w:r>
        <w:t xml:space="preserve"> (2020).</w:t>
      </w:r>
      <w:r w:rsidRPr="00EF4D09">
        <w:t xml:space="preserve"> Estimated Research and Development Investment Needed to Bring a New Medicine to Market, 2009-2018. </w:t>
      </w:r>
      <w:r w:rsidRPr="00EF4D09">
        <w:rPr>
          <w:i/>
          <w:iCs/>
        </w:rPr>
        <w:t>JAMA</w:t>
      </w:r>
      <w:r>
        <w:t xml:space="preserve">, </w:t>
      </w:r>
      <w:r w:rsidRPr="00EF4D09">
        <w:t>323(9):844-853</w:t>
      </w:r>
    </w:p>
  </w:footnote>
  <w:footnote w:id="27">
    <w:p w14:paraId="1A320F60" w14:textId="4EB5BB5F" w:rsidR="00E87EFA" w:rsidRPr="00E87EFA" w:rsidRDefault="00E87EFA">
      <w:pPr>
        <w:pStyle w:val="Textonotapie"/>
      </w:pPr>
      <w:r>
        <w:rPr>
          <w:rStyle w:val="Refdenotaalpie"/>
        </w:rPr>
        <w:footnoteRef/>
      </w:r>
      <w:r>
        <w:t xml:space="preserve"> Timelines for the accelerated assessment procedure are to remain unchanged per the Commission’s proposal; EFPIA asks for a maximum duration of 120 day.</w:t>
      </w:r>
    </w:p>
  </w:footnote>
  <w:footnote w:id="28">
    <w:p w14:paraId="51FAE0AD" w14:textId="5DE18B0E" w:rsidR="004E7893" w:rsidRPr="004E7893" w:rsidRDefault="004E7893">
      <w:pPr>
        <w:pStyle w:val="Textonotapie"/>
      </w:pPr>
      <w:r>
        <w:rPr>
          <w:rStyle w:val="Refdenotaalpie"/>
        </w:rPr>
        <w:footnoteRef/>
      </w:r>
      <w:r>
        <w:t xml:space="preserve"> This assumption builds on a previous publication by the Office of Health Economics, which suggested that removal of protocol assistance by the EMA would lead to “a decrease of 10% of development success rates (i.e., phase III, regulatory review)”. Protocol assistance and PRIME are not fully comparable, but in the absence of a more appropriate source, we adapt this assumption. Office of Health Economics for EUCOPE. (2020). Economic and financial challenges of developing orphan medicinal products: Does the European Regulation tackle them. Available </w:t>
      </w:r>
      <w:hyperlink r:id="rId22" w:history="1">
        <w:r w:rsidRPr="004E7893">
          <w:rPr>
            <w:rStyle w:val="Hipervnculo"/>
          </w:rPr>
          <w:t>here</w:t>
        </w:r>
      </w:hyperlink>
    </w:p>
  </w:footnote>
  <w:footnote w:id="29">
    <w:p w14:paraId="24706069" w14:textId="3AF80A2A" w:rsidR="00A935AC" w:rsidRPr="00A935AC" w:rsidRDefault="00A935AC" w:rsidP="00D74F80">
      <w:pPr>
        <w:pStyle w:val="Textonotapie"/>
        <w:jc w:val="both"/>
        <w:rPr>
          <w:lang w:val="en-US"/>
        </w:rPr>
      </w:pPr>
      <w:r>
        <w:rPr>
          <w:rStyle w:val="Refdenotaalpie"/>
        </w:rPr>
        <w:footnoteRef/>
      </w:r>
      <w:r>
        <w:t xml:space="preserve"> </w:t>
      </w:r>
      <w:r>
        <w:rPr>
          <w:lang w:val="en-US"/>
        </w:rPr>
        <w:t>Table 14 of Technopolis’s Impact Assessment shows that, within the 78 products with RDP expiry 2016-2024, the maximum number of countries where a product was launched was 20, achieved by 12.8% of the sample.</w:t>
      </w:r>
      <w:r w:rsidR="00B5593A">
        <w:rPr>
          <w:lang w:val="en-US"/>
        </w:rPr>
        <w:t xml:space="preserve">  No timeframe is specified.</w:t>
      </w:r>
      <w:r>
        <w:rPr>
          <w:lang w:val="en-US"/>
        </w:rPr>
        <w:t xml:space="preserve"> Available </w:t>
      </w:r>
      <w:hyperlink r:id="rId23" w:history="1">
        <w:r w:rsidRPr="00A935AC">
          <w:rPr>
            <w:rStyle w:val="Hipervnculo"/>
            <w:lang w:val="en-US"/>
          </w:rPr>
          <w:t>here</w:t>
        </w:r>
      </w:hyperlink>
    </w:p>
  </w:footnote>
  <w:footnote w:id="30">
    <w:p w14:paraId="617B9CEC" w14:textId="269E1204" w:rsidR="00071292" w:rsidRPr="00071292" w:rsidRDefault="00071292" w:rsidP="00D74F80">
      <w:pPr>
        <w:pStyle w:val="Textonotapie"/>
        <w:jc w:val="both"/>
        <w:rPr>
          <w:lang w:val="en-US"/>
        </w:rPr>
      </w:pPr>
      <w:r>
        <w:rPr>
          <w:rStyle w:val="Refdenotaalpie"/>
        </w:rPr>
        <w:footnoteRef/>
      </w:r>
      <w:r>
        <w:t xml:space="preserve"> </w:t>
      </w:r>
      <w:r>
        <w:rPr>
          <w:lang w:val="en-US"/>
        </w:rPr>
        <w:t xml:space="preserve">EFPIA. (2022). Addressing patient access inequalities in Europe: </w:t>
      </w:r>
      <w:r>
        <w:t>The Industry commitment to file pricing and reimbursement applications across Europe and the European Access Portal</w:t>
      </w:r>
      <w:r>
        <w:rPr>
          <w:lang w:val="en-US"/>
        </w:rPr>
        <w:t xml:space="preserve">. Available </w:t>
      </w:r>
      <w:hyperlink r:id="rId24" w:history="1">
        <w:r w:rsidRPr="00071292">
          <w:rPr>
            <w:rStyle w:val="Hipervnculo"/>
            <w:lang w:val="en-US"/>
          </w:rPr>
          <w:t>here</w:t>
        </w:r>
      </w:hyperlink>
    </w:p>
  </w:footnote>
  <w:footnote w:id="31">
    <w:p w14:paraId="7838DD74" w14:textId="6D7B41FF" w:rsidR="00E573C2" w:rsidRPr="00E573C2" w:rsidRDefault="00E573C2" w:rsidP="00D74F80">
      <w:pPr>
        <w:pStyle w:val="Textonotapie"/>
        <w:jc w:val="both"/>
      </w:pPr>
      <w:r>
        <w:rPr>
          <w:rStyle w:val="Refdenotaalpie"/>
        </w:rPr>
        <w:footnoteRef/>
      </w:r>
      <w:r>
        <w:t xml:space="preserve"> </w:t>
      </w:r>
      <w:r>
        <w:rPr>
          <w:lang w:val="en-US"/>
        </w:rPr>
        <w:t xml:space="preserve">European Commission. (2023). Staff Working Document – Impact Assessment report. Available </w:t>
      </w:r>
      <w:hyperlink r:id="rId25" w:history="1">
        <w:r w:rsidRPr="00EF4D09">
          <w:rPr>
            <w:rStyle w:val="Hipervnculo"/>
            <w:lang w:val="en-US"/>
          </w:rPr>
          <w:t>here</w:t>
        </w:r>
      </w:hyperlink>
    </w:p>
  </w:footnote>
  <w:footnote w:id="32">
    <w:p w14:paraId="5F9855A7" w14:textId="2888ED7D" w:rsidR="00E573C2" w:rsidRPr="00E573C2" w:rsidRDefault="00E573C2" w:rsidP="00D74F80">
      <w:pPr>
        <w:pStyle w:val="Textonotapie"/>
        <w:jc w:val="both"/>
        <w:rPr>
          <w:lang w:val="en-US"/>
        </w:rPr>
      </w:pPr>
      <w:r>
        <w:rPr>
          <w:rStyle w:val="Refdenotaalpie"/>
        </w:rPr>
        <w:footnoteRef/>
      </w:r>
      <w:r>
        <w:t xml:space="preserve"> </w:t>
      </w:r>
      <w:r w:rsidRPr="00555BB0">
        <w:rPr>
          <w:lang w:val="en-US"/>
        </w:rPr>
        <w:t xml:space="preserve">EXON </w:t>
      </w:r>
      <w:r w:rsidR="00E616DC" w:rsidRPr="00555BB0">
        <w:rPr>
          <w:lang w:val="en-US"/>
        </w:rPr>
        <w:t xml:space="preserve">analysis commissioned by EFPIA (2023). Forthcoming </w:t>
      </w:r>
      <w:r w:rsidRPr="00555BB0">
        <w:rPr>
          <w:lang w:val="en-US"/>
        </w:rPr>
        <w:t>publication</w:t>
      </w:r>
      <w:r>
        <w:rPr>
          <w:lang w:val="en-US"/>
        </w:rPr>
        <w:t xml:space="preserve"> </w:t>
      </w:r>
    </w:p>
  </w:footnote>
  <w:footnote w:id="33">
    <w:p w14:paraId="044AC4C5" w14:textId="50245038" w:rsidR="00E573C2" w:rsidRPr="00E573C2" w:rsidRDefault="00E573C2" w:rsidP="00D74F80">
      <w:pPr>
        <w:pStyle w:val="Textonotapie"/>
        <w:jc w:val="both"/>
        <w:rPr>
          <w:lang w:val="en-US"/>
        </w:rPr>
      </w:pPr>
      <w:r>
        <w:rPr>
          <w:rStyle w:val="Refdenotaalpie"/>
        </w:rPr>
        <w:footnoteRef/>
      </w:r>
      <w:r>
        <w:t xml:space="preserve"> </w:t>
      </w:r>
      <w:r>
        <w:rPr>
          <w:lang w:val="en-US"/>
        </w:rPr>
        <w:t xml:space="preserve">Naci et al. (2020). </w:t>
      </w:r>
      <w:r w:rsidRPr="00E573C2">
        <w:rPr>
          <w:lang w:val="en-US"/>
        </w:rPr>
        <w:t>Generating comparative evidence on new drugs and devices before approval</w:t>
      </w:r>
      <w:r>
        <w:rPr>
          <w:lang w:val="en-US"/>
        </w:rPr>
        <w:t xml:space="preserve">. </w:t>
      </w:r>
      <w:r w:rsidRPr="00E573C2">
        <w:rPr>
          <w:i/>
          <w:iCs/>
          <w:lang w:val="en-US"/>
        </w:rPr>
        <w:t>The Lancet</w:t>
      </w:r>
      <w:r>
        <w:rPr>
          <w:i/>
          <w:iCs/>
          <w:lang w:val="en-US"/>
        </w:rPr>
        <w:t xml:space="preserve">, </w:t>
      </w:r>
      <w:r w:rsidRPr="00E573C2">
        <w:rPr>
          <w:lang w:val="en-US"/>
        </w:rPr>
        <w:t>395</w:t>
      </w:r>
      <w:r>
        <w:rPr>
          <w:lang w:val="en-US"/>
        </w:rPr>
        <w:t>(</w:t>
      </w:r>
      <w:r w:rsidRPr="00E573C2">
        <w:rPr>
          <w:lang w:val="en-US"/>
        </w:rPr>
        <w:t>10228</w:t>
      </w:r>
      <w:r>
        <w:rPr>
          <w:lang w:val="en-US"/>
        </w:rPr>
        <w:t>)</w:t>
      </w:r>
      <w:r w:rsidRPr="00E573C2">
        <w:rPr>
          <w:lang w:val="en-US"/>
        </w:rPr>
        <w:t>, 986-997</w:t>
      </w:r>
      <w:r>
        <w:rPr>
          <w:lang w:val="en-US"/>
        </w:rPr>
        <w:t>.</w:t>
      </w:r>
    </w:p>
  </w:footnote>
  <w:footnote w:id="34">
    <w:p w14:paraId="4538F3C5" w14:textId="7974FB93" w:rsidR="00B5593A" w:rsidRPr="00D71DFE" w:rsidRDefault="00B5593A">
      <w:pPr>
        <w:pStyle w:val="Textonotapie"/>
        <w:rPr>
          <w:lang w:val="en-US"/>
        </w:rPr>
      </w:pPr>
      <w:r>
        <w:rPr>
          <w:rStyle w:val="Refdenotaalpie"/>
        </w:rPr>
        <w:footnoteRef/>
      </w:r>
      <w:r>
        <w:t xml:space="preserve"> </w:t>
      </w:r>
      <w:r>
        <w:rPr>
          <w:lang w:val="en-US"/>
        </w:rPr>
        <w:t>As evidenced by the fact that the average duration of RDP is 10.1 years.</w:t>
      </w:r>
      <w:r w:rsidRPr="00B5593A">
        <w:rPr>
          <w:lang w:val="en-US"/>
        </w:rPr>
        <w:t xml:space="preserve"> </w:t>
      </w:r>
      <w:r>
        <w:rPr>
          <w:lang w:val="en-US"/>
        </w:rPr>
        <w:t xml:space="preserve">European Commission. (2023). Staff Working Document – Impact Assessment report. Available </w:t>
      </w:r>
      <w:hyperlink r:id="rId26" w:history="1">
        <w:r w:rsidRPr="00EF4D09">
          <w:rPr>
            <w:rStyle w:val="Hipervnculo"/>
            <w:lang w:val="en-US"/>
          </w:rPr>
          <w:t>here</w:t>
        </w:r>
      </w:hyperlink>
    </w:p>
  </w:footnote>
  <w:footnote w:id="35">
    <w:p w14:paraId="64BC57D1" w14:textId="29CE6EB7" w:rsidR="00E64226" w:rsidRPr="00E64226" w:rsidRDefault="00E64226" w:rsidP="00E64226">
      <w:pPr>
        <w:pStyle w:val="Textonotapie"/>
        <w:jc w:val="both"/>
        <w:rPr>
          <w:lang w:val="en-US"/>
        </w:rPr>
      </w:pPr>
      <w:r>
        <w:rPr>
          <w:rStyle w:val="Refdenotaalpie"/>
        </w:rPr>
        <w:footnoteRef/>
      </w:r>
      <w:r>
        <w:t xml:space="preserve"> </w:t>
      </w:r>
      <w:r>
        <w:rPr>
          <w:lang w:val="en-US"/>
        </w:rPr>
        <w:t xml:space="preserve">Philipson &amp; Durie. (2021). </w:t>
      </w:r>
      <w:r>
        <w:t xml:space="preserve">Issue Brief: The Evidence Base on The Impact of Price Controls on Medical Innovation. Working paper No. 2021-108. Becker Friedman Institute for Economics at UChicago. Available </w:t>
      </w:r>
      <w:hyperlink r:id="rId27" w:history="1">
        <w:r w:rsidRPr="00E64226">
          <w:rPr>
            <w:rStyle w:val="Hipervnculo"/>
          </w:rPr>
          <w:t>here</w:t>
        </w:r>
      </w:hyperlink>
      <w:r>
        <w:t xml:space="preserve"> </w:t>
      </w:r>
    </w:p>
  </w:footnote>
  <w:footnote w:id="36">
    <w:p w14:paraId="1A536DF6" w14:textId="167AC131" w:rsidR="00091C76" w:rsidRPr="00091C76" w:rsidRDefault="00091C76">
      <w:pPr>
        <w:pStyle w:val="Textonotapie"/>
        <w:rPr>
          <w:lang w:val="en-US"/>
        </w:rPr>
      </w:pPr>
      <w:r>
        <w:rPr>
          <w:rStyle w:val="Refdenotaalpie"/>
        </w:rPr>
        <w:footnoteRef/>
      </w:r>
      <w:r>
        <w:t xml:space="preserve"> EFPIA. (2023). The Pharmaceutical Industry in Figures. Available </w:t>
      </w:r>
      <w:hyperlink r:id="rId28" w:history="1">
        <w:r w:rsidRPr="00171604">
          <w:rPr>
            <w:rStyle w:val="Hipervnculo"/>
          </w:rPr>
          <w:t>here</w:t>
        </w:r>
      </w:hyperlink>
    </w:p>
  </w:footnote>
  <w:footnote w:id="37">
    <w:p w14:paraId="0C9834EE" w14:textId="77777777" w:rsidR="00C13CEB" w:rsidRPr="00C818BD" w:rsidRDefault="00C13CEB" w:rsidP="00E64226">
      <w:pPr>
        <w:pStyle w:val="Textonotapie"/>
        <w:jc w:val="both"/>
        <w:rPr>
          <w:lang w:val="en-US"/>
        </w:rPr>
      </w:pPr>
      <w:r>
        <w:rPr>
          <w:rStyle w:val="Refdenotaalpie"/>
        </w:rPr>
        <w:footnoteRef/>
      </w:r>
      <w:r>
        <w:t xml:space="preserve"> EFPIA. (2023). The Pharmaceutical Industry in Figures. Available </w:t>
      </w:r>
      <w:hyperlink r:id="rId29" w:history="1">
        <w:r w:rsidRPr="00171604">
          <w:rPr>
            <w:rStyle w:val="Hipervnculo"/>
          </w:rPr>
          <w:t>here</w:t>
        </w:r>
      </w:hyperlink>
    </w:p>
  </w:footnote>
  <w:footnote w:id="38">
    <w:p w14:paraId="54449BE7" w14:textId="4D16E079" w:rsidR="005275A3" w:rsidRDefault="005275A3">
      <w:pPr>
        <w:pStyle w:val="Textonotapie"/>
      </w:pPr>
      <w:r>
        <w:rPr>
          <w:rStyle w:val="Refdenotaalpie"/>
        </w:rPr>
        <w:footnoteRef/>
      </w:r>
      <w:r>
        <w:t xml:space="preserve"> European Commission. (2023). Chemicals legislation – revision of REACH Regulation to help achieve a toxic free environment. Available </w:t>
      </w:r>
      <w:hyperlink r:id="rId30" w:history="1">
        <w:r w:rsidRPr="005275A3">
          <w:rPr>
            <w:rStyle w:val="Hipervnculo"/>
          </w:rPr>
          <w:t>here</w:t>
        </w:r>
      </w:hyperlink>
    </w:p>
  </w:footnote>
  <w:footnote w:id="39">
    <w:p w14:paraId="3020872D" w14:textId="56625F50" w:rsidR="005275A3" w:rsidRDefault="005275A3">
      <w:pPr>
        <w:pStyle w:val="Textonotapie"/>
      </w:pPr>
      <w:r>
        <w:rPr>
          <w:rStyle w:val="Refdenotaalpie"/>
        </w:rPr>
        <w:footnoteRef/>
      </w:r>
      <w:r>
        <w:t xml:space="preserve"> ECHA. (2020). In support of the EU chemicals strategy for sustainability: One substance – one assessment. Available </w:t>
      </w:r>
      <w:hyperlink r:id="rId31" w:anchor=":~:text=We%20propose%20that%20%E2%80%9Cone%20substance,would%20enhance%20predictability%20for%20industry." w:history="1">
        <w:r w:rsidRPr="005275A3">
          <w:rPr>
            <w:rStyle w:val="Hipervnculo"/>
          </w:rPr>
          <w:t>here</w:t>
        </w:r>
      </w:hyperlink>
    </w:p>
  </w:footnote>
  <w:footnote w:id="40">
    <w:p w14:paraId="7D06CD2A" w14:textId="785352D9" w:rsidR="001E649B" w:rsidRPr="001E649B" w:rsidRDefault="001E649B" w:rsidP="0086113B">
      <w:pPr>
        <w:pStyle w:val="Textonotapie"/>
        <w:jc w:val="both"/>
      </w:pPr>
      <w:r w:rsidRPr="00D71DFE">
        <w:rPr>
          <w:rStyle w:val="Refdenotaalpie"/>
        </w:rPr>
        <w:footnoteRef/>
      </w:r>
      <w:r w:rsidRPr="00D71DFE">
        <w:t xml:space="preserve"> </w:t>
      </w:r>
      <w:bookmarkStart w:id="0" w:name="_Hlk148013532"/>
      <w:r w:rsidR="00DF4794" w:rsidRPr="00D71DFE">
        <w:t xml:space="preserve">EPPA. (2023). </w:t>
      </w:r>
      <w:r w:rsidR="00DF4794" w:rsidRPr="009B6888">
        <w:t xml:space="preserve">Socio-economic analysis of the potential restriction of the per- and polyfluoroalkyl substances (PFAS) used in the production, </w:t>
      </w:r>
      <w:proofErr w:type="gramStart"/>
      <w:r w:rsidR="00DF4794" w:rsidRPr="009B6888">
        <w:t>packaging</w:t>
      </w:r>
      <w:proofErr w:type="gramEnd"/>
      <w:r w:rsidR="00DF4794" w:rsidRPr="009B6888">
        <w:t xml:space="preserve"> and delivery of human medicinal products. Available </w:t>
      </w:r>
      <w:hyperlink r:id="rId32" w:history="1">
        <w:r w:rsidR="00DF4794" w:rsidRPr="009B6888">
          <w:rPr>
            <w:rStyle w:val="Hipervnculo"/>
          </w:rPr>
          <w:t>here</w:t>
        </w:r>
      </w:hyperlink>
      <w:r>
        <w:t xml:space="preserve"> </w:t>
      </w:r>
      <w:bookmarkEnd w:id="0"/>
    </w:p>
  </w:footnote>
  <w:footnote w:id="41">
    <w:p w14:paraId="7F118EC5" w14:textId="38904B14" w:rsidR="00DF495E" w:rsidRPr="00DF495E" w:rsidRDefault="00DF495E" w:rsidP="0086113B">
      <w:pPr>
        <w:pStyle w:val="Textonotapie"/>
        <w:jc w:val="both"/>
      </w:pPr>
      <w:r>
        <w:rPr>
          <w:rStyle w:val="Refdenotaalpie"/>
        </w:rPr>
        <w:footnoteRef/>
      </w:r>
      <w:r>
        <w:t xml:space="preserve"> TLV. (2022). International price comparison 2021: An analysis of Swedish pharmaceutical prices in relation to 19 other European countries. Available </w:t>
      </w:r>
      <w:hyperlink r:id="rId33" w:history="1">
        <w:r w:rsidRPr="00DF495E">
          <w:rPr>
            <w:rStyle w:val="Hipervnculo"/>
          </w:rPr>
          <w:t>here</w:t>
        </w:r>
      </w:hyperlink>
    </w:p>
  </w:footnote>
  <w:footnote w:id="42">
    <w:p w14:paraId="2F6D9896" w14:textId="3F12E339" w:rsidR="00DF495E" w:rsidRPr="00DF495E" w:rsidRDefault="00DF495E" w:rsidP="0086113B">
      <w:pPr>
        <w:pStyle w:val="Textonotapie"/>
        <w:jc w:val="both"/>
      </w:pPr>
      <w:r>
        <w:rPr>
          <w:rStyle w:val="Refdenotaalpie"/>
        </w:rPr>
        <w:footnoteRef/>
      </w:r>
      <w:r>
        <w:t xml:space="preserve"> Eurostat. Data browser. Available </w:t>
      </w:r>
      <w:hyperlink r:id="rId34" w:history="1">
        <w:r w:rsidRPr="00DF495E">
          <w:rPr>
            <w:rStyle w:val="Hipervnculo"/>
          </w:rPr>
          <w:t>here</w:t>
        </w:r>
      </w:hyperlink>
      <w:r>
        <w:t xml:space="preserve"> </w:t>
      </w:r>
    </w:p>
  </w:footnote>
  <w:footnote w:id="43">
    <w:p w14:paraId="1C4FBA53" w14:textId="64DAE8EA" w:rsidR="00E1647F" w:rsidRPr="00D71DFE" w:rsidRDefault="00E1647F">
      <w:pPr>
        <w:pStyle w:val="Textonotapie"/>
        <w:rPr>
          <w:lang w:val="en-US"/>
        </w:rPr>
      </w:pPr>
      <w:r>
        <w:rPr>
          <w:rStyle w:val="Refdenotaalpie"/>
        </w:rPr>
        <w:footnoteRef/>
      </w:r>
      <w:r>
        <w:t xml:space="preserve"> European Commission. (2023). </w:t>
      </w:r>
      <w:r w:rsidRPr="00A56772">
        <w:t>Impact assessment report and executive summary accompanying the revision of the general pharmaceutical legislation</w:t>
      </w:r>
      <w:r>
        <w:t xml:space="preserve">. Available </w:t>
      </w:r>
      <w:hyperlink r:id="rId35" w:history="1">
        <w:r w:rsidRPr="00A56772">
          <w:rPr>
            <w:rStyle w:val="Hipervnculo"/>
          </w:rPr>
          <w:t>here</w:t>
        </w:r>
      </w:hyperlink>
    </w:p>
  </w:footnote>
  <w:footnote w:id="44">
    <w:p w14:paraId="597D9E4D" w14:textId="7F96DAC4" w:rsidR="00905B6C" w:rsidRPr="00905B6C" w:rsidRDefault="00905B6C">
      <w:pPr>
        <w:pStyle w:val="Textonotapie"/>
      </w:pPr>
      <w:r>
        <w:rPr>
          <w:rStyle w:val="Refdenotaalpie"/>
        </w:rPr>
        <w:footnoteRef/>
      </w:r>
      <w:r>
        <w:t xml:space="preserve"> </w:t>
      </w:r>
      <w:r>
        <w:rPr>
          <w:lang w:val="en-US"/>
        </w:rPr>
        <w:t xml:space="preserve">IQVIA. (2023). </w:t>
      </w:r>
      <w:r>
        <w:t xml:space="preserve">EFPIA Patients W.A.I.T. Indicator 2022 Survey. Available </w:t>
      </w:r>
      <w:hyperlink r:id="rId36" w:history="1">
        <w:r w:rsidRPr="00EF4D09">
          <w:rPr>
            <w:rStyle w:val="Hipervnculo"/>
          </w:rPr>
          <w:t>here</w:t>
        </w:r>
      </w:hyperlink>
    </w:p>
  </w:footnote>
  <w:footnote w:id="45">
    <w:p w14:paraId="6C777C77" w14:textId="75F86AAB" w:rsidR="0094679D" w:rsidRPr="0094679D" w:rsidRDefault="0094679D" w:rsidP="0094679D">
      <w:pPr>
        <w:pStyle w:val="Textonotapie"/>
        <w:jc w:val="both"/>
        <w:rPr>
          <w:lang w:val="en-US"/>
        </w:rPr>
      </w:pPr>
      <w:r>
        <w:rPr>
          <w:rStyle w:val="Refdenotaalpie"/>
        </w:rPr>
        <w:footnoteRef/>
      </w:r>
      <w:r>
        <w:t xml:space="preserve"> For a </w:t>
      </w:r>
      <w:r w:rsidR="00E952CE">
        <w:t>m</w:t>
      </w:r>
      <w:r>
        <w:t xml:space="preserve">ore thorough description of limitations, please see Dolon reports on the impact of revisions to the Orphan Regulation, available </w:t>
      </w:r>
      <w:hyperlink r:id="rId37" w:history="1">
        <w:r w:rsidRPr="00180A1F">
          <w:rPr>
            <w:rStyle w:val="Hipervnculo"/>
          </w:rPr>
          <w:t>here</w:t>
        </w:r>
      </w:hyperlink>
      <w:r>
        <w:t xml:space="preserve"> and </w:t>
      </w:r>
      <w:hyperlink r:id="rId38" w:history="1">
        <w:r w:rsidRPr="00180A1F">
          <w:rPr>
            <w:rStyle w:val="Hipervnculo"/>
          </w:rPr>
          <w:t>here</w:t>
        </w:r>
      </w:hyperlink>
    </w:p>
  </w:footnote>
  <w:footnote w:id="46">
    <w:p w14:paraId="1543927A" w14:textId="6F584D19" w:rsidR="001D0C09" w:rsidRDefault="001D0C09" w:rsidP="002E74E4">
      <w:pPr>
        <w:pStyle w:val="Textonotapie"/>
        <w:jc w:val="both"/>
      </w:pPr>
      <w:r>
        <w:rPr>
          <w:rStyle w:val="Refdenotaalpie"/>
        </w:rPr>
        <w:footnoteRef/>
      </w:r>
      <w:r>
        <w:t xml:space="preserve"> European Commission. (2023). </w:t>
      </w:r>
      <w:r w:rsidRPr="00A56772">
        <w:t>Impact assessment report and executive summary accompanying the revision of the general pharmaceutical legislation</w:t>
      </w:r>
      <w:r>
        <w:t xml:space="preserve">. Available </w:t>
      </w:r>
      <w:hyperlink r:id="rId39" w:history="1">
        <w:r w:rsidRPr="00A56772">
          <w:rPr>
            <w:rStyle w:val="Hipervnculo"/>
          </w:rPr>
          <w:t>here</w:t>
        </w:r>
      </w:hyperlink>
      <w:r>
        <w:t xml:space="preserve"> </w:t>
      </w:r>
    </w:p>
  </w:footnote>
  <w:footnote w:id="47">
    <w:p w14:paraId="34A0C70F" w14:textId="4E74BBE0" w:rsidR="001D0C09" w:rsidRDefault="001D0C09">
      <w:pPr>
        <w:pStyle w:val="Textonotapie"/>
      </w:pPr>
      <w:r>
        <w:rPr>
          <w:rStyle w:val="Refdenotaalpie"/>
        </w:rPr>
        <w:footnoteRef/>
      </w:r>
      <w:r>
        <w:t xml:space="preserve"> </w:t>
      </w:r>
      <w:r w:rsidRPr="002E74E4">
        <w:t>Wouters,</w:t>
      </w:r>
      <w:r>
        <w:t xml:space="preserve"> et al.</w:t>
      </w:r>
      <w:r w:rsidRPr="002E74E4">
        <w:t xml:space="preserve"> </w:t>
      </w:r>
      <w:r>
        <w:t>(</w:t>
      </w:r>
      <w:r w:rsidRPr="002E74E4">
        <w:t>2020</w:t>
      </w:r>
      <w:r>
        <w:t>)</w:t>
      </w:r>
      <w:r w:rsidRPr="002E74E4">
        <w:t xml:space="preserve">. </w:t>
      </w:r>
      <w:r>
        <w:t xml:space="preserve">Estimated Research and Development Investment Needed to Bring a New Medicine to Market, 2009-2018. </w:t>
      </w:r>
      <w:r w:rsidRPr="002E74E4">
        <w:t xml:space="preserve">Available: </w:t>
      </w:r>
      <w:hyperlink r:id="rId40" w:history="1">
        <w:r w:rsidRPr="002E74E4">
          <w:rPr>
            <w:rStyle w:val="Hipervnculo"/>
          </w:rPr>
          <w:t>here</w:t>
        </w:r>
      </w:hyperlink>
    </w:p>
  </w:footnote>
  <w:footnote w:id="48">
    <w:p w14:paraId="0412668E" w14:textId="1BF7B242" w:rsidR="001D0C09" w:rsidRPr="008B0083" w:rsidRDefault="001D0C09" w:rsidP="008B0083">
      <w:pPr>
        <w:pStyle w:val="Textonotapie"/>
        <w:jc w:val="both"/>
        <w:rPr>
          <w:lang w:val="en-US"/>
        </w:rPr>
      </w:pPr>
      <w:r>
        <w:rPr>
          <w:rStyle w:val="Refdenotaalpie"/>
        </w:rPr>
        <w:footnoteRef/>
      </w:r>
      <w:r>
        <w:t xml:space="preserve"> EFPIA. (2023). The Pharmaceutical Industry in Figures. Available </w:t>
      </w:r>
      <w:hyperlink r:id="rId41" w:history="1">
        <w:r w:rsidRPr="00171604">
          <w:rPr>
            <w:rStyle w:val="Hipervnculo"/>
          </w:rPr>
          <w:t>here</w:t>
        </w:r>
      </w:hyperlink>
    </w:p>
  </w:footnote>
  <w:footnote w:id="49">
    <w:p w14:paraId="43B5579D" w14:textId="1310EDDF" w:rsidR="001D0C09" w:rsidRDefault="001D0C09">
      <w:pPr>
        <w:pStyle w:val="Textonotapie"/>
      </w:pPr>
      <w:r>
        <w:rPr>
          <w:rStyle w:val="Refdenotaalpie"/>
        </w:rPr>
        <w:footnoteRef/>
      </w:r>
      <w:r>
        <w:t xml:space="preserve"> </w:t>
      </w:r>
      <w:r w:rsidRPr="00171604">
        <w:t>Wong, Siah</w:t>
      </w:r>
      <w:r>
        <w:t xml:space="preserve"> &amp; </w:t>
      </w:r>
      <w:r w:rsidRPr="00171604">
        <w:t>Lo</w:t>
      </w:r>
      <w:r>
        <w:t>. (2019).</w:t>
      </w:r>
      <w:r w:rsidRPr="00171604">
        <w:t xml:space="preserve"> Estimation of clinical trial success rates and related parameters. </w:t>
      </w:r>
      <w:r w:rsidRPr="00171604">
        <w:rPr>
          <w:i/>
          <w:iCs/>
        </w:rPr>
        <w:t>Biostatistics</w:t>
      </w:r>
      <w:r>
        <w:t xml:space="preserve">, </w:t>
      </w:r>
      <w:r w:rsidRPr="00171604">
        <w:t>1;20(2):273-286.</w:t>
      </w:r>
      <w:r w:rsidR="00E4614A">
        <w:t xml:space="preserve"> Available: </w:t>
      </w:r>
      <w:hyperlink r:id="rId42" w:history="1">
        <w:r w:rsidR="00E4614A" w:rsidRPr="00E4614A">
          <w:rPr>
            <w:rStyle w:val="Hipervnculo"/>
          </w:rPr>
          <w:t>here</w:t>
        </w:r>
      </w:hyperlink>
    </w:p>
  </w:footnote>
  <w:footnote w:id="50">
    <w:p w14:paraId="1E278984" w14:textId="045B237F" w:rsidR="001D0C09" w:rsidRDefault="001D0C09">
      <w:pPr>
        <w:pStyle w:val="Textonotapie"/>
      </w:pPr>
      <w:r>
        <w:rPr>
          <w:rStyle w:val="Refdenotaalpie"/>
        </w:rPr>
        <w:footnoteRef/>
      </w:r>
      <w:r>
        <w:t xml:space="preserve"> </w:t>
      </w:r>
      <w:r w:rsidRPr="00171604">
        <w:t>Wong, Siah</w:t>
      </w:r>
      <w:r>
        <w:t xml:space="preserve"> &amp; </w:t>
      </w:r>
      <w:r w:rsidRPr="00171604">
        <w:t>Lo</w:t>
      </w:r>
      <w:r>
        <w:t>. (2019).</w:t>
      </w:r>
      <w:r w:rsidRPr="00171604">
        <w:t xml:space="preserve"> Estimation of clinical trial success rates and related parameters. </w:t>
      </w:r>
      <w:r w:rsidRPr="00171604">
        <w:rPr>
          <w:i/>
          <w:iCs/>
        </w:rPr>
        <w:t>Biostatistics</w:t>
      </w:r>
      <w:r>
        <w:t xml:space="preserve">, </w:t>
      </w:r>
      <w:r w:rsidRPr="00171604">
        <w:t>1;20(2):273-286.</w:t>
      </w:r>
      <w:r w:rsidR="00E4614A" w:rsidRPr="00E4614A">
        <w:t xml:space="preserve"> </w:t>
      </w:r>
      <w:r w:rsidR="00E4614A">
        <w:t xml:space="preserve">Available: </w:t>
      </w:r>
      <w:hyperlink r:id="rId43" w:history="1">
        <w:r w:rsidR="00E4614A" w:rsidRPr="00E4614A">
          <w:rPr>
            <w:rStyle w:val="Hipervnculo"/>
          </w:rPr>
          <w:t>here</w:t>
        </w:r>
      </w:hyperlink>
    </w:p>
  </w:footnote>
  <w:footnote w:id="51">
    <w:p w14:paraId="589D9764" w14:textId="17E1B2C3" w:rsidR="001D0C09" w:rsidRPr="008B0083" w:rsidRDefault="001D0C09" w:rsidP="008B0083">
      <w:pPr>
        <w:pStyle w:val="Textonotapie"/>
        <w:jc w:val="both"/>
        <w:rPr>
          <w:lang w:val="en-US"/>
        </w:rPr>
      </w:pPr>
      <w:r>
        <w:rPr>
          <w:rStyle w:val="Refdenotaalpie"/>
        </w:rPr>
        <w:footnoteRef/>
      </w:r>
      <w:r>
        <w:t xml:space="preserve"> </w:t>
      </w:r>
      <w:r>
        <w:rPr>
          <w:lang w:val="en-US"/>
        </w:rPr>
        <w:t xml:space="preserve">IQVIA. (2023). </w:t>
      </w:r>
      <w:r>
        <w:t xml:space="preserve">EFPIA Patients W.A.I.T. Indicator 2022 Survey. Available </w:t>
      </w:r>
      <w:hyperlink r:id="rId44" w:history="1">
        <w:r w:rsidRPr="00EF4D09">
          <w:rPr>
            <w:rStyle w:val="Hipervnculo"/>
          </w:rPr>
          <w:t>here</w:t>
        </w:r>
      </w:hyperlink>
    </w:p>
  </w:footnote>
  <w:footnote w:id="52">
    <w:p w14:paraId="70D521A6" w14:textId="2DB4BFBD" w:rsidR="001D0C09" w:rsidRPr="008B0083" w:rsidRDefault="001D0C09" w:rsidP="008B0083">
      <w:pPr>
        <w:pStyle w:val="Textonotapie"/>
        <w:jc w:val="both"/>
        <w:rPr>
          <w:lang w:val="en-US"/>
        </w:rPr>
      </w:pPr>
      <w:r>
        <w:rPr>
          <w:rStyle w:val="Refdenotaalpie"/>
        </w:rPr>
        <w:footnoteRef/>
      </w:r>
      <w:r>
        <w:t xml:space="preserve"> See Dolon reports on the impact of revisions to the Orphan Regulation, available </w:t>
      </w:r>
      <w:hyperlink r:id="rId45" w:history="1">
        <w:r w:rsidRPr="00180A1F">
          <w:rPr>
            <w:rStyle w:val="Hipervnculo"/>
          </w:rPr>
          <w:t>here</w:t>
        </w:r>
      </w:hyperlink>
      <w:r>
        <w:t xml:space="preserve"> and </w:t>
      </w:r>
      <w:hyperlink r:id="rId46" w:history="1">
        <w:r w:rsidRPr="00180A1F">
          <w:rPr>
            <w:rStyle w:val="Hipervnculo"/>
          </w:rPr>
          <w:t>here</w:t>
        </w:r>
      </w:hyperlink>
    </w:p>
  </w:footnote>
  <w:footnote w:id="53">
    <w:p w14:paraId="43A2FA8A" w14:textId="50A66EDB" w:rsidR="001D0C09" w:rsidRDefault="001D0C09">
      <w:pPr>
        <w:pStyle w:val="Textonotapie"/>
      </w:pPr>
      <w:r>
        <w:rPr>
          <w:rStyle w:val="Refdenotaalpie"/>
        </w:rPr>
        <w:footnoteRef/>
      </w:r>
      <w:r>
        <w:t xml:space="preserve"> </w:t>
      </w:r>
      <w:r w:rsidRPr="002E74E4">
        <w:t>Wouters,</w:t>
      </w:r>
      <w:r>
        <w:t xml:space="preserve"> et al.</w:t>
      </w:r>
      <w:r w:rsidRPr="002E74E4">
        <w:t xml:space="preserve"> </w:t>
      </w:r>
      <w:r>
        <w:t>(</w:t>
      </w:r>
      <w:r w:rsidRPr="002E74E4">
        <w:t>2020</w:t>
      </w:r>
      <w:r>
        <w:t>)</w:t>
      </w:r>
      <w:r w:rsidRPr="002E74E4">
        <w:t xml:space="preserve">. </w:t>
      </w:r>
      <w:r>
        <w:t xml:space="preserve">Estimated Research and Development Investment Needed to Bring a New Medicine to Market, 2009-2018. </w:t>
      </w:r>
      <w:r w:rsidRPr="002E74E4">
        <w:t xml:space="preserve">Available: </w:t>
      </w:r>
      <w:hyperlink r:id="rId47" w:history="1">
        <w:r w:rsidRPr="002E74E4">
          <w:rPr>
            <w:rStyle w:val="Hipervnculo"/>
          </w:rPr>
          <w:t>here</w:t>
        </w:r>
      </w:hyperlink>
    </w:p>
  </w:footnote>
  <w:footnote w:id="54">
    <w:p w14:paraId="407F3FF3" w14:textId="77777777" w:rsidR="00B60119" w:rsidRDefault="00B60119" w:rsidP="00B60119">
      <w:pPr>
        <w:pStyle w:val="Textonotapie"/>
      </w:pPr>
      <w:r>
        <w:rPr>
          <w:rStyle w:val="Refdenotaalpie"/>
        </w:rPr>
        <w:footnoteRef/>
      </w:r>
      <w:r>
        <w:t xml:space="preserve"> Eurostat, data browser. Population change – Demographic balance and crude rates at national level. Available: </w:t>
      </w:r>
      <w:hyperlink r:id="rId48" w:history="1">
        <w:r w:rsidRPr="00A1150D">
          <w:rPr>
            <w:rStyle w:val="Hipervnculo"/>
          </w:rPr>
          <w:t>here</w:t>
        </w:r>
      </w:hyperlink>
    </w:p>
  </w:footnote>
  <w:footnote w:id="55">
    <w:p w14:paraId="679F1B4B" w14:textId="77777777" w:rsidR="00B60119" w:rsidRPr="00A1150D" w:rsidRDefault="00B60119" w:rsidP="00B60119">
      <w:pPr>
        <w:pStyle w:val="Textonotapie"/>
        <w:jc w:val="both"/>
        <w:rPr>
          <w:lang w:val="en-US"/>
        </w:rPr>
      </w:pPr>
      <w:r>
        <w:rPr>
          <w:rStyle w:val="Refdenotaalpie"/>
        </w:rPr>
        <w:footnoteRef/>
      </w:r>
      <w:r>
        <w:t xml:space="preserve"> </w:t>
      </w:r>
      <w:r>
        <w:rPr>
          <w:lang w:val="en-US"/>
        </w:rPr>
        <w:t xml:space="preserve">IQVIA. (2023). </w:t>
      </w:r>
      <w:r>
        <w:t xml:space="preserve">EFPIA Patients W.A.I.T. Indicator 2022 Survey. Available </w:t>
      </w:r>
      <w:hyperlink r:id="rId49" w:history="1">
        <w:r w:rsidRPr="00EF4D09">
          <w:rPr>
            <w:rStyle w:val="Hipervnculo"/>
          </w:rPr>
          <w:t>here</w:t>
        </w:r>
      </w:hyperlink>
    </w:p>
  </w:footnote>
  <w:footnote w:id="56">
    <w:p w14:paraId="212D8BB0" w14:textId="54D00745" w:rsidR="00B60119" w:rsidRDefault="00B60119">
      <w:pPr>
        <w:pStyle w:val="Textonotapie"/>
      </w:pPr>
      <w:r>
        <w:rPr>
          <w:rStyle w:val="Refdenotaalpie"/>
        </w:rPr>
        <w:footnoteRef/>
      </w:r>
      <w:r>
        <w:t xml:space="preserve"> TLV. (2022). International price comparison 2021. Available: </w:t>
      </w:r>
      <w:hyperlink r:id="rId50" w:history="1">
        <w:r w:rsidRPr="00A1150D">
          <w:rPr>
            <w:rStyle w:val="Hipervnculo"/>
          </w:rPr>
          <w:t>here</w:t>
        </w:r>
      </w:hyperlink>
    </w:p>
  </w:footnote>
  <w:footnote w:id="57">
    <w:p w14:paraId="37AB392D" w14:textId="77777777" w:rsidR="00B60119" w:rsidRPr="008B0083" w:rsidRDefault="00B60119" w:rsidP="00BA4054">
      <w:pPr>
        <w:pStyle w:val="Textonotapie"/>
        <w:jc w:val="both"/>
        <w:rPr>
          <w:lang w:val="en-US"/>
        </w:rPr>
      </w:pPr>
      <w:r>
        <w:rPr>
          <w:rStyle w:val="Refdenotaalpie"/>
        </w:rPr>
        <w:footnoteRef/>
      </w:r>
      <w:r>
        <w:t xml:space="preserve"> See Dolon reports on the impact of revisions to the Orphan Regulation, available </w:t>
      </w:r>
      <w:hyperlink r:id="rId51" w:history="1">
        <w:r w:rsidRPr="00180A1F">
          <w:rPr>
            <w:rStyle w:val="Hipervnculo"/>
          </w:rPr>
          <w:t>here</w:t>
        </w:r>
      </w:hyperlink>
      <w:r>
        <w:t xml:space="preserve"> and </w:t>
      </w:r>
      <w:hyperlink r:id="rId52" w:history="1">
        <w:r w:rsidRPr="00180A1F">
          <w:rPr>
            <w:rStyle w:val="Hipervnculo"/>
          </w:rPr>
          <w:t>here</w:t>
        </w:r>
      </w:hyperlink>
    </w:p>
  </w:footnote>
  <w:footnote w:id="58">
    <w:p w14:paraId="3EBD31FD" w14:textId="77777777" w:rsidR="00B60119" w:rsidRDefault="00B60119" w:rsidP="00BA4054">
      <w:pPr>
        <w:pStyle w:val="Textonotapie"/>
      </w:pPr>
      <w:r>
        <w:rPr>
          <w:rStyle w:val="Refdenotaalpie"/>
        </w:rPr>
        <w:footnoteRef/>
      </w:r>
      <w:r>
        <w:t xml:space="preserve"> </w:t>
      </w:r>
      <w:r w:rsidRPr="002E74E4">
        <w:t>Wouters,</w:t>
      </w:r>
      <w:r>
        <w:t xml:space="preserve"> et al.</w:t>
      </w:r>
      <w:r w:rsidRPr="002E74E4">
        <w:t xml:space="preserve"> </w:t>
      </w:r>
      <w:r>
        <w:t>(</w:t>
      </w:r>
      <w:r w:rsidRPr="002E74E4">
        <w:t>2020</w:t>
      </w:r>
      <w:r>
        <w:t>)</w:t>
      </w:r>
      <w:r w:rsidRPr="002E74E4">
        <w:t xml:space="preserve">. </w:t>
      </w:r>
      <w:r>
        <w:t xml:space="preserve">Estimated Research and Development Investment Needed to Bring a New Medicine to Market, 2009-2018. </w:t>
      </w:r>
      <w:r w:rsidRPr="002E74E4">
        <w:t xml:space="preserve">Available: </w:t>
      </w:r>
      <w:hyperlink r:id="rId53" w:history="1">
        <w:r w:rsidRPr="002E74E4">
          <w:rPr>
            <w:rStyle w:val="Hipervnculo"/>
          </w:rPr>
          <w:t>here</w:t>
        </w:r>
      </w:hyperlink>
    </w:p>
  </w:footnote>
  <w:footnote w:id="59">
    <w:p w14:paraId="39D5BC0A" w14:textId="0BCD3222" w:rsidR="001B2D2F" w:rsidRDefault="001B2D2F">
      <w:pPr>
        <w:pStyle w:val="Textonotapie"/>
      </w:pPr>
      <w:r>
        <w:rPr>
          <w:rStyle w:val="Refdenotaalpie"/>
        </w:rPr>
        <w:footnoteRef/>
      </w:r>
      <w:r>
        <w:t xml:space="preserve"> European Commission. (2023). </w:t>
      </w:r>
      <w:r w:rsidRPr="004A69DC">
        <w:t xml:space="preserve">Reform of the EU pharmaceutical legislation. </w:t>
      </w:r>
      <w:r w:rsidRPr="0019214F">
        <w:t xml:space="preserve">Available: </w:t>
      </w:r>
      <w:hyperlink r:id="rId54" w:history="1">
        <w:r w:rsidRPr="0019214F">
          <w:rPr>
            <w:rStyle w:val="Hipervnculo"/>
          </w:rPr>
          <w:t>here</w:t>
        </w:r>
      </w:hyperlink>
    </w:p>
  </w:footnote>
  <w:footnote w:id="60">
    <w:p w14:paraId="2179EEFE" w14:textId="73FEEB99" w:rsidR="00810EB8" w:rsidRDefault="00810EB8">
      <w:pPr>
        <w:pStyle w:val="Textonotapie"/>
      </w:pPr>
      <w:r>
        <w:rPr>
          <w:rStyle w:val="Refdenotaalpie"/>
        </w:rPr>
        <w:footnoteRef/>
      </w:r>
      <w:r>
        <w:t xml:space="preserve"> ECHA</w:t>
      </w:r>
      <w:r w:rsidR="001B2D2F">
        <w:t>.</w:t>
      </w:r>
      <w:r>
        <w:t xml:space="preserve"> (2022).</w:t>
      </w:r>
      <w:r w:rsidR="001B2D2F" w:rsidRPr="001B2D2F">
        <w:t xml:space="preserve"> In support of the EU chemicals strategy for sustainability: One substance – one assessment.</w:t>
      </w:r>
      <w:r>
        <w:t xml:space="preserve"> Available: </w:t>
      </w:r>
      <w:hyperlink r:id="rId55" w:history="1">
        <w:r w:rsidRPr="00810EB8">
          <w:rPr>
            <w:rStyle w:val="Hipervnculo"/>
          </w:rPr>
          <w:t>here</w:t>
        </w:r>
      </w:hyperlink>
    </w:p>
  </w:footnote>
  <w:footnote w:id="61">
    <w:p w14:paraId="2310EB9B" w14:textId="4641BB87" w:rsidR="001B2D2F" w:rsidRDefault="001B2D2F">
      <w:pPr>
        <w:pStyle w:val="Textonotapie"/>
      </w:pPr>
      <w:r>
        <w:rPr>
          <w:rStyle w:val="Refdenotaalpie"/>
        </w:rPr>
        <w:footnoteRef/>
      </w:r>
      <w:r>
        <w:t xml:space="preserve"> ECHA. (2023). ECHA publishes PFAS restriction proposal. Available: </w:t>
      </w:r>
      <w:hyperlink r:id="rId56" w:history="1">
        <w:r w:rsidRPr="001B2D2F">
          <w:rPr>
            <w:rStyle w:val="Hipervnculo"/>
          </w:rPr>
          <w:t>here</w:t>
        </w:r>
      </w:hyperlink>
    </w:p>
  </w:footnote>
  <w:footnote w:id="62">
    <w:p w14:paraId="3984F545" w14:textId="687FC34B" w:rsidR="001B2D2F" w:rsidRDefault="001B2D2F">
      <w:pPr>
        <w:pStyle w:val="Textonotapie"/>
      </w:pPr>
      <w:r>
        <w:rPr>
          <w:rStyle w:val="Refdenotaalpie"/>
        </w:rPr>
        <w:footnoteRef/>
      </w:r>
      <w:r>
        <w:t xml:space="preserve"> European Commission. (2023). Chemicals legislation – revision of REACH Regulation to help achieve a toxic-free environment. Available: </w:t>
      </w:r>
      <w:hyperlink r:id="rId57" w:history="1">
        <w:r w:rsidRPr="001B2D2F">
          <w:rPr>
            <w:rStyle w:val="Hipervnculo"/>
          </w:rPr>
          <w:t>here</w:t>
        </w:r>
      </w:hyperlink>
    </w:p>
  </w:footnote>
  <w:footnote w:id="63">
    <w:p w14:paraId="64533EB6" w14:textId="4AF4CC9F" w:rsidR="001B2D2F" w:rsidRDefault="001B2D2F">
      <w:pPr>
        <w:pStyle w:val="Textonotapie"/>
      </w:pPr>
      <w:r>
        <w:rPr>
          <w:rStyle w:val="Refdenotaalpie"/>
        </w:rPr>
        <w:footnoteRef/>
      </w:r>
      <w:r>
        <w:t xml:space="preserve"> ECHA. (2023). Understanding CLP. Available: </w:t>
      </w:r>
      <w:hyperlink r:id="rId58" w:history="1">
        <w:r w:rsidRPr="001B2D2F">
          <w:rPr>
            <w:rStyle w:val="Hipervnculo"/>
          </w:rPr>
          <w:t>here</w:t>
        </w:r>
      </w:hyperlink>
    </w:p>
  </w:footnote>
  <w:footnote w:id="64">
    <w:p w14:paraId="3B03AEB2" w14:textId="6CEC923C" w:rsidR="001B2D2F" w:rsidRDefault="001B2D2F">
      <w:pPr>
        <w:pStyle w:val="Textonotapie"/>
      </w:pPr>
      <w:r>
        <w:rPr>
          <w:rStyle w:val="Refdenotaalpie"/>
        </w:rPr>
        <w:footnoteRef/>
      </w:r>
      <w:r>
        <w:t xml:space="preserve"> </w:t>
      </w:r>
      <w:bookmarkStart w:id="7" w:name="_Hlk148541921"/>
      <w:bookmarkStart w:id="8" w:name="_Hlk148541922"/>
      <w:r>
        <w:t xml:space="preserve">European Commission. (2023). Commission Regulation (EU) …/… amending Annex XVII to Regulation (EC) No 1907/2006 concerning the Registration, Evaluation, Authorisation and Restriction of Chemicals (REACH) as regards synthetic polymer microparticles. Available: </w:t>
      </w:r>
      <w:hyperlink r:id="rId59" w:history="1">
        <w:r w:rsidRPr="001B2D2F">
          <w:rPr>
            <w:rStyle w:val="Hipervnculo"/>
          </w:rPr>
          <w:t>here</w:t>
        </w:r>
      </w:hyperlink>
      <w:bookmarkEnd w:id="7"/>
      <w:bookmarkEnd w:id="8"/>
    </w:p>
  </w:footnote>
  <w:footnote w:id="65">
    <w:p w14:paraId="200251EC" w14:textId="54644BDE" w:rsidR="006841B2" w:rsidRDefault="006841B2">
      <w:pPr>
        <w:pStyle w:val="Textonotapie"/>
      </w:pPr>
      <w:r>
        <w:rPr>
          <w:rStyle w:val="Refdenotaalpie"/>
        </w:rPr>
        <w:footnoteRef/>
      </w:r>
      <w:r>
        <w:t xml:space="preserve"> European Commission. (2022). Re-evaluation. Available: </w:t>
      </w:r>
      <w:hyperlink r:id="rId60" w:history="1">
        <w:r w:rsidRPr="006841B2">
          <w:rPr>
            <w:rStyle w:val="Hipervnculo"/>
          </w:rPr>
          <w:t>here</w:t>
        </w:r>
      </w:hyperlink>
    </w:p>
  </w:footnote>
  <w:footnote w:id="66">
    <w:p w14:paraId="3E46EC31" w14:textId="6FB2E93F" w:rsidR="006841B2" w:rsidRDefault="006841B2">
      <w:pPr>
        <w:pStyle w:val="Textonotapie"/>
      </w:pPr>
      <w:r>
        <w:rPr>
          <w:rStyle w:val="Refdenotaalpie"/>
        </w:rPr>
        <w:footnoteRef/>
      </w:r>
      <w:r>
        <w:t xml:space="preserve"> EMA. (2020). Nitrosamine impurities. Available: </w:t>
      </w:r>
      <w:hyperlink r:id="rId61" w:history="1">
        <w:r w:rsidRPr="006841B2">
          <w:rPr>
            <w:rStyle w:val="Hipervnculo"/>
          </w:rPr>
          <w:t>here</w:t>
        </w:r>
      </w:hyperlink>
    </w:p>
  </w:footnote>
  <w:footnote w:id="67">
    <w:p w14:paraId="65563ABA" w14:textId="6E98659A" w:rsidR="006841B2" w:rsidRDefault="006841B2">
      <w:pPr>
        <w:pStyle w:val="Textonotapie"/>
      </w:pPr>
      <w:r>
        <w:rPr>
          <w:rStyle w:val="Refdenotaalpie"/>
        </w:rPr>
        <w:footnoteRef/>
      </w:r>
      <w:r>
        <w:t xml:space="preserve"> European Commission. (2022). Urban wastewater. Available: </w:t>
      </w:r>
      <w:hyperlink r:id="rId62" w:history="1">
        <w:r w:rsidRPr="006841B2">
          <w:rPr>
            <w:rStyle w:val="Hipervnculo"/>
          </w:rPr>
          <w:t>here</w:t>
        </w:r>
      </w:hyperlink>
    </w:p>
  </w:footnote>
  <w:footnote w:id="68">
    <w:p w14:paraId="1E5ABD3F" w14:textId="4EB84D06" w:rsidR="00133E66" w:rsidRDefault="00133E66">
      <w:pPr>
        <w:pStyle w:val="Textonotapie"/>
      </w:pPr>
      <w:r>
        <w:rPr>
          <w:rStyle w:val="Refdenotaalpie"/>
        </w:rPr>
        <w:footnoteRef/>
      </w:r>
      <w:r>
        <w:t xml:space="preserve"> European Commission. (2022). Questions and Answers on new EU rules on surface water and groundwater pollution. Available: </w:t>
      </w:r>
      <w:hyperlink r:id="rId63" w:history="1">
        <w:r w:rsidRPr="00133E66">
          <w:rPr>
            <w:rStyle w:val="Hipervnculo"/>
          </w:rPr>
          <w:t>here</w:t>
        </w:r>
      </w:hyperlink>
    </w:p>
  </w:footnote>
  <w:footnote w:id="69">
    <w:p w14:paraId="6AB3CA3F" w14:textId="2CD26707" w:rsidR="00133E66" w:rsidRDefault="00133E66" w:rsidP="00133E66">
      <w:pPr>
        <w:pStyle w:val="Textonotapie"/>
        <w:tabs>
          <w:tab w:val="left" w:pos="3324"/>
        </w:tabs>
      </w:pPr>
      <w:r>
        <w:rPr>
          <w:rStyle w:val="Refdenotaalpie"/>
        </w:rPr>
        <w:footnoteRef/>
      </w:r>
      <w:r>
        <w:t xml:space="preserve"> European Parliament. (2023). Revision of the Packaging and Packaging Waste Directive. Available: </w:t>
      </w:r>
      <w:hyperlink r:id="rId64" w:anchor=":~:text=The%20Packaging%20and%20Packaging%20Waste%20Directive%20(PPWD%20%E2%80%93%20Directive%2094%2F,the%20EU%20market%20must%20meet." w:history="1">
        <w:r w:rsidRPr="00133E66">
          <w:rPr>
            <w:rStyle w:val="Hipervnculo"/>
          </w:rPr>
          <w:t>here</w:t>
        </w:r>
      </w:hyperlink>
    </w:p>
  </w:footnote>
  <w:footnote w:id="70">
    <w:p w14:paraId="7499B131" w14:textId="39A853D7" w:rsidR="00133E66" w:rsidRDefault="00133E66">
      <w:pPr>
        <w:pStyle w:val="Textonotapie"/>
      </w:pPr>
      <w:r>
        <w:rPr>
          <w:rStyle w:val="Refdenotaalpie"/>
        </w:rPr>
        <w:footnoteRef/>
      </w:r>
      <w:r>
        <w:t xml:space="preserve"> European Commission. (2023). Corporate sustainability reporting. Available: </w:t>
      </w:r>
      <w:hyperlink r:id="rId65" w:history="1">
        <w:r w:rsidRPr="00133E66">
          <w:rPr>
            <w:rStyle w:val="Hipervnculo"/>
          </w:rPr>
          <w:t>here</w:t>
        </w:r>
      </w:hyperlink>
    </w:p>
  </w:footnote>
  <w:footnote w:id="71">
    <w:p w14:paraId="49B35BD9" w14:textId="2A5526D2" w:rsidR="00133E66" w:rsidRDefault="00133E66">
      <w:pPr>
        <w:pStyle w:val="Textonotapie"/>
      </w:pPr>
      <w:r>
        <w:rPr>
          <w:rStyle w:val="Refdenotaalpie"/>
        </w:rPr>
        <w:footnoteRef/>
      </w:r>
      <w:r>
        <w:t xml:space="preserve"> EMA. (2023). Ethical use of animals in medicine testing. Available: </w:t>
      </w:r>
      <w:hyperlink r:id="rId66" w:anchor=":~:text=The%20European%20Medicines%20Agency%20(EMA,the%20European%20Union%20(EU)." w:history="1">
        <w:r w:rsidRPr="00133E66">
          <w:rPr>
            <w:rStyle w:val="Hipervnculo"/>
          </w:rPr>
          <w:t>here</w:t>
        </w:r>
      </w:hyperlink>
    </w:p>
  </w:footnote>
  <w:footnote w:id="72">
    <w:p w14:paraId="7FFA266B" w14:textId="765A75D4" w:rsidR="00133E66" w:rsidRPr="006F74F1" w:rsidRDefault="00133E66">
      <w:pPr>
        <w:pStyle w:val="Textonotapie"/>
        <w:rPr>
          <w:sz w:val="18"/>
          <w:szCs w:val="18"/>
        </w:rPr>
      </w:pPr>
      <w:r>
        <w:rPr>
          <w:rStyle w:val="Refdenotaalpie"/>
        </w:rPr>
        <w:footnoteRef/>
      </w:r>
      <w:r>
        <w:t xml:space="preserve"> European Commission. (2023).</w:t>
      </w:r>
      <w:r w:rsidR="006F74F1">
        <w:t xml:space="preserve"> EU taxonomy for sustainable activities. Available: </w:t>
      </w:r>
      <w:hyperlink r:id="rId67" w:anchor=":~:text=The%20Taxonomy%20Regulation%20was%20published,to%20qualify%20as%20environmentally%20sustainable." w:history="1">
        <w:r w:rsidR="006F74F1" w:rsidRPr="006F74F1">
          <w:rPr>
            <w:rStyle w:val="Hipervnculo"/>
          </w:rPr>
          <w:t>here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BDE329E"/>
    <w:lvl w:ilvl="0">
      <w:start w:val="1"/>
      <w:numFmt w:val="decimal"/>
      <w:pStyle w:val="Listaconnmeros"/>
      <w:lvlText w:val="%1."/>
      <w:lvlJc w:val="left"/>
      <w:pPr>
        <w:tabs>
          <w:tab w:val="num" w:pos="360"/>
        </w:tabs>
        <w:ind w:left="360" w:hanging="360"/>
      </w:pPr>
      <w:rPr>
        <w:rFonts w:hint="default"/>
      </w:rPr>
    </w:lvl>
  </w:abstractNum>
  <w:abstractNum w:abstractNumId="1" w15:restartNumberingAfterBreak="0">
    <w:nsid w:val="09801DAE"/>
    <w:multiLevelType w:val="hybridMultilevel"/>
    <w:tmpl w:val="A3A2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17A6C"/>
    <w:multiLevelType w:val="multilevel"/>
    <w:tmpl w:val="54A49280"/>
    <w:styleLink w:val="Dolonbullets"/>
    <w:lvl w:ilvl="0">
      <w:start w:val="1"/>
      <w:numFmt w:val="bullet"/>
      <w:pStyle w:val="Listaconvietas"/>
      <w:lvlText w:val=""/>
      <w:lvlJc w:val="left"/>
      <w:pPr>
        <w:tabs>
          <w:tab w:val="num" w:pos="737"/>
        </w:tabs>
        <w:ind w:left="737" w:hanging="340"/>
      </w:pPr>
      <w:rPr>
        <w:rFonts w:ascii="Symbol" w:hAnsi="Symbol" w:hint="default"/>
        <w:b w:val="0"/>
        <w:i w:val="0"/>
        <w:color w:val="auto"/>
        <w:sz w:val="24"/>
      </w:rPr>
    </w:lvl>
    <w:lvl w:ilvl="1">
      <w:start w:val="1"/>
      <w:numFmt w:val="bullet"/>
      <w:pStyle w:val="Listaconvietas2"/>
      <w:lvlText w:val="o"/>
      <w:lvlJc w:val="left"/>
      <w:pPr>
        <w:tabs>
          <w:tab w:val="num" w:pos="1077"/>
        </w:tabs>
        <w:ind w:left="1077" w:hanging="340"/>
      </w:pPr>
      <w:rPr>
        <w:rFonts w:ascii="Courier New" w:hAnsi="Courier New" w:hint="default"/>
        <w:sz w:val="20"/>
      </w:rPr>
    </w:lvl>
    <w:lvl w:ilvl="2">
      <w:start w:val="1"/>
      <w:numFmt w:val="bullet"/>
      <w:pStyle w:val="Listaconvietas3"/>
      <w:lvlText w:val=""/>
      <w:lvlJc w:val="left"/>
      <w:pPr>
        <w:tabs>
          <w:tab w:val="num" w:pos="1418"/>
        </w:tabs>
        <w:ind w:left="1418" w:hanging="341"/>
      </w:pPr>
      <w:rPr>
        <w:rFonts w:ascii="Wingdings" w:hAnsi="Wingdings" w:hint="default"/>
      </w:rPr>
    </w:lvl>
    <w:lvl w:ilvl="3">
      <w:start w:val="1"/>
      <w:numFmt w:val="bullet"/>
      <w:pStyle w:val="Listaconvietas4"/>
      <w:lvlText w:val=""/>
      <w:lvlJc w:val="left"/>
      <w:pPr>
        <w:tabs>
          <w:tab w:val="num" w:pos="1758"/>
        </w:tabs>
        <w:ind w:left="1758" w:hanging="340"/>
      </w:pPr>
      <w:rPr>
        <w:rFonts w:ascii="Symbol" w:hAnsi="Symbol" w:hint="default"/>
      </w:rPr>
    </w:lvl>
    <w:lvl w:ilvl="4">
      <w:start w:val="1"/>
      <w:numFmt w:val="bullet"/>
      <w:lvlText w:val="o"/>
      <w:lvlJc w:val="left"/>
      <w:pPr>
        <w:tabs>
          <w:tab w:val="num" w:pos="2041"/>
        </w:tabs>
        <w:ind w:left="2041" w:hanging="283"/>
      </w:pPr>
      <w:rPr>
        <w:rFonts w:ascii="Courier New" w:hAnsi="Courier New" w:hint="default"/>
      </w:rPr>
    </w:lvl>
    <w:lvl w:ilvl="5">
      <w:start w:val="1"/>
      <w:numFmt w:val="bullet"/>
      <w:lvlText w:val=""/>
      <w:lvlJc w:val="left"/>
      <w:pPr>
        <w:tabs>
          <w:tab w:val="num" w:pos="2381"/>
        </w:tabs>
        <w:ind w:left="2381" w:hanging="340"/>
      </w:pPr>
      <w:rPr>
        <w:rFonts w:ascii="Wingdings" w:hAnsi="Wingdings" w:hint="default"/>
      </w:rPr>
    </w:lvl>
    <w:lvl w:ilvl="6">
      <w:start w:val="1"/>
      <w:numFmt w:val="bullet"/>
      <w:lvlText w:val=""/>
      <w:lvlJc w:val="left"/>
      <w:pPr>
        <w:tabs>
          <w:tab w:val="num" w:pos="2722"/>
        </w:tabs>
        <w:ind w:left="2722" w:hanging="341"/>
      </w:pPr>
      <w:rPr>
        <w:rFonts w:ascii="Symbol" w:hAnsi="Symbol" w:hint="default"/>
      </w:rPr>
    </w:lvl>
    <w:lvl w:ilvl="7">
      <w:start w:val="1"/>
      <w:numFmt w:val="bullet"/>
      <w:lvlText w:val="o"/>
      <w:lvlJc w:val="left"/>
      <w:pPr>
        <w:tabs>
          <w:tab w:val="num" w:pos="3175"/>
        </w:tabs>
        <w:ind w:left="3175" w:hanging="453"/>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96253"/>
    <w:multiLevelType w:val="hybridMultilevel"/>
    <w:tmpl w:val="C17E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B5339"/>
    <w:multiLevelType w:val="multilevel"/>
    <w:tmpl w:val="7F94DA4C"/>
    <w:numStyleLink w:val="Dolonlistnumbers"/>
  </w:abstractNum>
  <w:abstractNum w:abstractNumId="5" w15:restartNumberingAfterBreak="0">
    <w:nsid w:val="2CDD652F"/>
    <w:multiLevelType w:val="hybridMultilevel"/>
    <w:tmpl w:val="1C449F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1DA3F87"/>
    <w:multiLevelType w:val="multilevel"/>
    <w:tmpl w:val="7F94DA4C"/>
    <w:styleLink w:val="Dolonlistnumbers"/>
    <w:lvl w:ilvl="0">
      <w:start w:val="1"/>
      <w:numFmt w:val="decimal"/>
      <w:lvlText w:val="%1."/>
      <w:lvlJc w:val="left"/>
      <w:pPr>
        <w:tabs>
          <w:tab w:val="num" w:pos="737"/>
        </w:tabs>
        <w:ind w:left="737" w:hanging="340"/>
      </w:pPr>
      <w:rPr>
        <w:rFonts w:hint="default"/>
      </w:rPr>
    </w:lvl>
    <w:lvl w:ilvl="1">
      <w:start w:val="1"/>
      <w:numFmt w:val="lowerLetter"/>
      <w:pStyle w:val="Listaconnmeros2"/>
      <w:lvlText w:val="%2."/>
      <w:lvlJc w:val="left"/>
      <w:pPr>
        <w:tabs>
          <w:tab w:val="num" w:pos="1134"/>
        </w:tabs>
        <w:ind w:left="1134" w:hanging="340"/>
      </w:pPr>
      <w:rPr>
        <w:rFonts w:hint="default"/>
      </w:rPr>
    </w:lvl>
    <w:lvl w:ilvl="2">
      <w:start w:val="1"/>
      <w:numFmt w:val="lowerRoman"/>
      <w:pStyle w:val="Listaconnmeros3"/>
      <w:lvlText w:val="%3."/>
      <w:lvlJc w:val="right"/>
      <w:pPr>
        <w:tabs>
          <w:tab w:val="num" w:pos="1531"/>
        </w:tabs>
        <w:ind w:left="1531" w:hanging="227"/>
      </w:pPr>
      <w:rPr>
        <w:rFonts w:hint="default"/>
      </w:rPr>
    </w:lvl>
    <w:lvl w:ilvl="3">
      <w:start w:val="1"/>
      <w:numFmt w:val="bullet"/>
      <w:pStyle w:val="Listaconnmeros4"/>
      <w:lvlText w:val=""/>
      <w:lvlJc w:val="left"/>
      <w:pPr>
        <w:tabs>
          <w:tab w:val="num" w:pos="1757"/>
        </w:tabs>
        <w:ind w:left="1757" w:hanging="340"/>
      </w:pPr>
      <w:rPr>
        <w:rFonts w:ascii="Symbol" w:hAnsi="Symbol" w:hint="default"/>
        <w:color w:val="auto"/>
      </w:rPr>
    </w:lvl>
    <w:lvl w:ilvl="4">
      <w:start w:val="1"/>
      <w:numFmt w:val="bullet"/>
      <w:pStyle w:val="Listaconvietas5"/>
      <w:lvlText w:val="o"/>
      <w:lvlJc w:val="left"/>
      <w:pPr>
        <w:tabs>
          <w:tab w:val="num" w:pos="2097"/>
        </w:tabs>
        <w:ind w:left="2097" w:hanging="340"/>
      </w:pPr>
      <w:rPr>
        <w:rFonts w:ascii="Courier New" w:hAnsi="Courier New" w:hint="default"/>
      </w:rPr>
    </w:lvl>
    <w:lvl w:ilvl="5">
      <w:start w:val="1"/>
      <w:numFmt w:val="none"/>
      <w:pStyle w:val="Listaconnmeros5"/>
      <w:lvlText w:val="%6."/>
      <w:lvlJc w:val="right"/>
      <w:pPr>
        <w:tabs>
          <w:tab w:val="num" w:pos="2437"/>
        </w:tabs>
        <w:ind w:left="2437" w:hanging="340"/>
      </w:pPr>
      <w:rPr>
        <w:rFonts w:hint="default"/>
      </w:rPr>
    </w:lvl>
    <w:lvl w:ilvl="6">
      <w:start w:val="1"/>
      <w:numFmt w:val="none"/>
      <w:lvlText w:val="%7."/>
      <w:lvlJc w:val="left"/>
      <w:pPr>
        <w:tabs>
          <w:tab w:val="num" w:pos="2777"/>
        </w:tabs>
        <w:ind w:left="2777" w:hanging="340"/>
      </w:pPr>
      <w:rPr>
        <w:rFonts w:hint="default"/>
      </w:rPr>
    </w:lvl>
    <w:lvl w:ilvl="7">
      <w:start w:val="1"/>
      <w:numFmt w:val="none"/>
      <w:lvlText w:val="%8."/>
      <w:lvlJc w:val="left"/>
      <w:pPr>
        <w:tabs>
          <w:tab w:val="num" w:pos="3117"/>
        </w:tabs>
        <w:ind w:left="3117" w:hanging="340"/>
      </w:pPr>
      <w:rPr>
        <w:rFonts w:hint="default"/>
      </w:rPr>
    </w:lvl>
    <w:lvl w:ilvl="8">
      <w:start w:val="1"/>
      <w:numFmt w:val="none"/>
      <w:lvlText w:val="%9."/>
      <w:lvlJc w:val="right"/>
      <w:pPr>
        <w:tabs>
          <w:tab w:val="num" w:pos="3457"/>
        </w:tabs>
        <w:ind w:left="3457" w:hanging="340"/>
      </w:pPr>
      <w:rPr>
        <w:rFonts w:hint="default"/>
      </w:rPr>
    </w:lvl>
  </w:abstractNum>
  <w:abstractNum w:abstractNumId="7" w15:restartNumberingAfterBreak="0">
    <w:nsid w:val="3B305962"/>
    <w:multiLevelType w:val="hybridMultilevel"/>
    <w:tmpl w:val="84C2A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64DA7"/>
    <w:multiLevelType w:val="multilevel"/>
    <w:tmpl w:val="CB8AFB0C"/>
    <w:numStyleLink w:val="DolonHeadings"/>
  </w:abstractNum>
  <w:abstractNum w:abstractNumId="9" w15:restartNumberingAfterBreak="0">
    <w:nsid w:val="3F902790"/>
    <w:multiLevelType w:val="multilevel"/>
    <w:tmpl w:val="CB8AFB0C"/>
    <w:styleLink w:val="DolonHeadings"/>
    <w:lvl w:ilvl="0">
      <w:start w:val="1"/>
      <w:numFmt w:val="decimal"/>
      <w:pStyle w:val="Ttulo1"/>
      <w:lvlText w:val="%1"/>
      <w:lvlJc w:val="left"/>
      <w:pPr>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b w:val="0"/>
        <w:i w:val="0"/>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43CF21D7"/>
    <w:multiLevelType w:val="hybridMultilevel"/>
    <w:tmpl w:val="FAF6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526E0"/>
    <w:multiLevelType w:val="multilevel"/>
    <w:tmpl w:val="54A49280"/>
    <w:numStyleLink w:val="Dolonbullets"/>
  </w:abstractNum>
  <w:abstractNum w:abstractNumId="12" w15:restartNumberingAfterBreak="0">
    <w:nsid w:val="517C35F5"/>
    <w:multiLevelType w:val="hybridMultilevel"/>
    <w:tmpl w:val="52086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D615C0"/>
    <w:multiLevelType w:val="hybridMultilevel"/>
    <w:tmpl w:val="3114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32510B"/>
    <w:multiLevelType w:val="hybridMultilevel"/>
    <w:tmpl w:val="C870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5E368D"/>
    <w:multiLevelType w:val="hybridMultilevel"/>
    <w:tmpl w:val="0A026EE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67840D9C"/>
    <w:multiLevelType w:val="hybridMultilevel"/>
    <w:tmpl w:val="7C70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243735"/>
    <w:multiLevelType w:val="hybridMultilevel"/>
    <w:tmpl w:val="51B4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D5197E"/>
    <w:multiLevelType w:val="hybridMultilevel"/>
    <w:tmpl w:val="9EC4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E33BF"/>
    <w:multiLevelType w:val="hybridMultilevel"/>
    <w:tmpl w:val="C4768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64FA4"/>
    <w:multiLevelType w:val="hybridMultilevel"/>
    <w:tmpl w:val="FD9AAF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94F1415"/>
    <w:multiLevelType w:val="hybridMultilevel"/>
    <w:tmpl w:val="4708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020345">
    <w:abstractNumId w:val="0"/>
  </w:num>
  <w:num w:numId="2" w16cid:durableId="1204173035">
    <w:abstractNumId w:val="9"/>
  </w:num>
  <w:num w:numId="3" w16cid:durableId="927428301">
    <w:abstractNumId w:val="2"/>
  </w:num>
  <w:num w:numId="4" w16cid:durableId="900948684">
    <w:abstractNumId w:val="11"/>
  </w:num>
  <w:num w:numId="5" w16cid:durableId="213153039">
    <w:abstractNumId w:val="6"/>
  </w:num>
  <w:num w:numId="6" w16cid:durableId="1384137854">
    <w:abstractNumId w:val="12"/>
  </w:num>
  <w:num w:numId="7" w16cid:durableId="35937330">
    <w:abstractNumId w:val="7"/>
  </w:num>
  <w:num w:numId="8" w16cid:durableId="1376349942">
    <w:abstractNumId w:val="4"/>
  </w:num>
  <w:num w:numId="9" w16cid:durableId="714162304">
    <w:abstractNumId w:val="8"/>
  </w:num>
  <w:num w:numId="10" w16cid:durableId="1977297274">
    <w:abstractNumId w:val="21"/>
  </w:num>
  <w:num w:numId="11" w16cid:durableId="1874268373">
    <w:abstractNumId w:val="16"/>
  </w:num>
  <w:num w:numId="12" w16cid:durableId="793598064">
    <w:abstractNumId w:val="20"/>
  </w:num>
  <w:num w:numId="13" w16cid:durableId="759988139">
    <w:abstractNumId w:val="1"/>
  </w:num>
  <w:num w:numId="14" w16cid:durableId="1614903936">
    <w:abstractNumId w:val="15"/>
  </w:num>
  <w:num w:numId="15" w16cid:durableId="1678268249">
    <w:abstractNumId w:val="5"/>
  </w:num>
  <w:num w:numId="16" w16cid:durableId="2075807697">
    <w:abstractNumId w:val="13"/>
  </w:num>
  <w:num w:numId="17" w16cid:durableId="1024016771">
    <w:abstractNumId w:val="19"/>
  </w:num>
  <w:num w:numId="18" w16cid:durableId="1187791895">
    <w:abstractNumId w:val="18"/>
  </w:num>
  <w:num w:numId="19" w16cid:durableId="1820147912">
    <w:abstractNumId w:val="17"/>
  </w:num>
  <w:num w:numId="20" w16cid:durableId="1243643358">
    <w:abstractNumId w:val="3"/>
  </w:num>
  <w:num w:numId="21" w16cid:durableId="1180895447">
    <w:abstractNumId w:val="14"/>
  </w:num>
  <w:num w:numId="22" w16cid:durableId="15672555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D3"/>
    <w:rsid w:val="000024FC"/>
    <w:rsid w:val="000028AD"/>
    <w:rsid w:val="00002CB0"/>
    <w:rsid w:val="00005850"/>
    <w:rsid w:val="000065BC"/>
    <w:rsid w:val="00006C3B"/>
    <w:rsid w:val="0000766F"/>
    <w:rsid w:val="00007E0B"/>
    <w:rsid w:val="000101B7"/>
    <w:rsid w:val="000107EC"/>
    <w:rsid w:val="00010BCD"/>
    <w:rsid w:val="00011A97"/>
    <w:rsid w:val="00011F17"/>
    <w:rsid w:val="000126B6"/>
    <w:rsid w:val="00013501"/>
    <w:rsid w:val="00015329"/>
    <w:rsid w:val="00015374"/>
    <w:rsid w:val="000158B9"/>
    <w:rsid w:val="000165D0"/>
    <w:rsid w:val="000208AE"/>
    <w:rsid w:val="00021029"/>
    <w:rsid w:val="00021963"/>
    <w:rsid w:val="00021A47"/>
    <w:rsid w:val="0002235F"/>
    <w:rsid w:val="0002283B"/>
    <w:rsid w:val="00023405"/>
    <w:rsid w:val="000239DA"/>
    <w:rsid w:val="000241A6"/>
    <w:rsid w:val="00024871"/>
    <w:rsid w:val="00024A3E"/>
    <w:rsid w:val="00024EC6"/>
    <w:rsid w:val="00026242"/>
    <w:rsid w:val="00026243"/>
    <w:rsid w:val="00026643"/>
    <w:rsid w:val="00027361"/>
    <w:rsid w:val="00027444"/>
    <w:rsid w:val="00030274"/>
    <w:rsid w:val="000308AE"/>
    <w:rsid w:val="00030C61"/>
    <w:rsid w:val="00030FAB"/>
    <w:rsid w:val="0003105D"/>
    <w:rsid w:val="000311F8"/>
    <w:rsid w:val="0003121A"/>
    <w:rsid w:val="00031B6C"/>
    <w:rsid w:val="00032BCD"/>
    <w:rsid w:val="00032D45"/>
    <w:rsid w:val="00032F12"/>
    <w:rsid w:val="000334C5"/>
    <w:rsid w:val="00034980"/>
    <w:rsid w:val="00034C9C"/>
    <w:rsid w:val="00034D1E"/>
    <w:rsid w:val="00034F7C"/>
    <w:rsid w:val="000354FB"/>
    <w:rsid w:val="00035647"/>
    <w:rsid w:val="00035DE1"/>
    <w:rsid w:val="00035EC6"/>
    <w:rsid w:val="000361C5"/>
    <w:rsid w:val="00036723"/>
    <w:rsid w:val="000368F8"/>
    <w:rsid w:val="00036B65"/>
    <w:rsid w:val="00037B71"/>
    <w:rsid w:val="00037DD8"/>
    <w:rsid w:val="00040043"/>
    <w:rsid w:val="00040AFB"/>
    <w:rsid w:val="00040F6E"/>
    <w:rsid w:val="00041843"/>
    <w:rsid w:val="00041D40"/>
    <w:rsid w:val="0004235F"/>
    <w:rsid w:val="0004354B"/>
    <w:rsid w:val="0004369C"/>
    <w:rsid w:val="00043A62"/>
    <w:rsid w:val="00044550"/>
    <w:rsid w:val="00046EBC"/>
    <w:rsid w:val="00047D0B"/>
    <w:rsid w:val="00047EA4"/>
    <w:rsid w:val="000509CD"/>
    <w:rsid w:val="00051F11"/>
    <w:rsid w:val="0005289D"/>
    <w:rsid w:val="00052B6E"/>
    <w:rsid w:val="00052DEA"/>
    <w:rsid w:val="00053E88"/>
    <w:rsid w:val="00054082"/>
    <w:rsid w:val="00054D5C"/>
    <w:rsid w:val="00055056"/>
    <w:rsid w:val="000550F4"/>
    <w:rsid w:val="000565C4"/>
    <w:rsid w:val="00056807"/>
    <w:rsid w:val="00056AB4"/>
    <w:rsid w:val="000572FA"/>
    <w:rsid w:val="000606CF"/>
    <w:rsid w:val="00060EDD"/>
    <w:rsid w:val="00060FAC"/>
    <w:rsid w:val="000633FA"/>
    <w:rsid w:val="00064FDC"/>
    <w:rsid w:val="000662E8"/>
    <w:rsid w:val="0006696C"/>
    <w:rsid w:val="000673F5"/>
    <w:rsid w:val="000674C6"/>
    <w:rsid w:val="000677F8"/>
    <w:rsid w:val="00067905"/>
    <w:rsid w:val="00071292"/>
    <w:rsid w:val="000715B6"/>
    <w:rsid w:val="00071742"/>
    <w:rsid w:val="00072A82"/>
    <w:rsid w:val="00076691"/>
    <w:rsid w:val="00077AC5"/>
    <w:rsid w:val="00077DFB"/>
    <w:rsid w:val="000801C8"/>
    <w:rsid w:val="0008116D"/>
    <w:rsid w:val="00082501"/>
    <w:rsid w:val="0008286A"/>
    <w:rsid w:val="00084067"/>
    <w:rsid w:val="000840D3"/>
    <w:rsid w:val="000845C0"/>
    <w:rsid w:val="00085CF1"/>
    <w:rsid w:val="00086840"/>
    <w:rsid w:val="00090133"/>
    <w:rsid w:val="00090CE6"/>
    <w:rsid w:val="000917C3"/>
    <w:rsid w:val="00091C76"/>
    <w:rsid w:val="00092A70"/>
    <w:rsid w:val="00092AE3"/>
    <w:rsid w:val="00092FD4"/>
    <w:rsid w:val="0009348A"/>
    <w:rsid w:val="000937F5"/>
    <w:rsid w:val="00093AEE"/>
    <w:rsid w:val="000942F6"/>
    <w:rsid w:val="00096F5D"/>
    <w:rsid w:val="00097774"/>
    <w:rsid w:val="000A08A4"/>
    <w:rsid w:val="000A116E"/>
    <w:rsid w:val="000A148B"/>
    <w:rsid w:val="000A1566"/>
    <w:rsid w:val="000A15A5"/>
    <w:rsid w:val="000A27D5"/>
    <w:rsid w:val="000A31EE"/>
    <w:rsid w:val="000A331B"/>
    <w:rsid w:val="000A4A6C"/>
    <w:rsid w:val="000A4A6F"/>
    <w:rsid w:val="000A5E80"/>
    <w:rsid w:val="000B0231"/>
    <w:rsid w:val="000B0D0B"/>
    <w:rsid w:val="000B1196"/>
    <w:rsid w:val="000B33A6"/>
    <w:rsid w:val="000B4A3E"/>
    <w:rsid w:val="000B4D07"/>
    <w:rsid w:val="000B5DB2"/>
    <w:rsid w:val="000B5E20"/>
    <w:rsid w:val="000B5EC3"/>
    <w:rsid w:val="000B6237"/>
    <w:rsid w:val="000B64D4"/>
    <w:rsid w:val="000B67A5"/>
    <w:rsid w:val="000B686C"/>
    <w:rsid w:val="000B78EA"/>
    <w:rsid w:val="000C0A1A"/>
    <w:rsid w:val="000C0C90"/>
    <w:rsid w:val="000C1AAB"/>
    <w:rsid w:val="000C1B74"/>
    <w:rsid w:val="000C1BA4"/>
    <w:rsid w:val="000C5542"/>
    <w:rsid w:val="000C5E8C"/>
    <w:rsid w:val="000C6751"/>
    <w:rsid w:val="000C766A"/>
    <w:rsid w:val="000C788E"/>
    <w:rsid w:val="000D077C"/>
    <w:rsid w:val="000D14DF"/>
    <w:rsid w:val="000D1837"/>
    <w:rsid w:val="000D2194"/>
    <w:rsid w:val="000D24D4"/>
    <w:rsid w:val="000D58E8"/>
    <w:rsid w:val="000D62F1"/>
    <w:rsid w:val="000D62FE"/>
    <w:rsid w:val="000D7C97"/>
    <w:rsid w:val="000D7D05"/>
    <w:rsid w:val="000E0326"/>
    <w:rsid w:val="000E121C"/>
    <w:rsid w:val="000E13C6"/>
    <w:rsid w:val="000E15CF"/>
    <w:rsid w:val="000E222D"/>
    <w:rsid w:val="000E3498"/>
    <w:rsid w:val="000E3567"/>
    <w:rsid w:val="000E3C21"/>
    <w:rsid w:val="000E48FA"/>
    <w:rsid w:val="000E4AB7"/>
    <w:rsid w:val="000E4C4C"/>
    <w:rsid w:val="000E54D7"/>
    <w:rsid w:val="000E7026"/>
    <w:rsid w:val="000E7891"/>
    <w:rsid w:val="000E7D2A"/>
    <w:rsid w:val="000E7FCE"/>
    <w:rsid w:val="000F135E"/>
    <w:rsid w:val="000F14E9"/>
    <w:rsid w:val="000F1507"/>
    <w:rsid w:val="000F1FD3"/>
    <w:rsid w:val="000F2CEE"/>
    <w:rsid w:val="000F32AC"/>
    <w:rsid w:val="000F33E5"/>
    <w:rsid w:val="000F3941"/>
    <w:rsid w:val="000F3D82"/>
    <w:rsid w:val="000F43E9"/>
    <w:rsid w:val="000F493C"/>
    <w:rsid w:val="000F647B"/>
    <w:rsid w:val="000F66C5"/>
    <w:rsid w:val="000F6953"/>
    <w:rsid w:val="000F6A97"/>
    <w:rsid w:val="000F7311"/>
    <w:rsid w:val="00100334"/>
    <w:rsid w:val="00101CFF"/>
    <w:rsid w:val="00101D86"/>
    <w:rsid w:val="00101E9D"/>
    <w:rsid w:val="00102004"/>
    <w:rsid w:val="0010238E"/>
    <w:rsid w:val="001034C0"/>
    <w:rsid w:val="00104AC1"/>
    <w:rsid w:val="00106618"/>
    <w:rsid w:val="00106C1F"/>
    <w:rsid w:val="001072CE"/>
    <w:rsid w:val="001072F7"/>
    <w:rsid w:val="00107521"/>
    <w:rsid w:val="0011006A"/>
    <w:rsid w:val="001104E4"/>
    <w:rsid w:val="0011056C"/>
    <w:rsid w:val="00110C0B"/>
    <w:rsid w:val="0011160E"/>
    <w:rsid w:val="00111BF3"/>
    <w:rsid w:val="00113BEB"/>
    <w:rsid w:val="0011402A"/>
    <w:rsid w:val="00114A4F"/>
    <w:rsid w:val="00115203"/>
    <w:rsid w:val="001154FB"/>
    <w:rsid w:val="001157D0"/>
    <w:rsid w:val="00116428"/>
    <w:rsid w:val="001178BB"/>
    <w:rsid w:val="00117DF9"/>
    <w:rsid w:val="001206A7"/>
    <w:rsid w:val="00121C98"/>
    <w:rsid w:val="00122067"/>
    <w:rsid w:val="0012396B"/>
    <w:rsid w:val="00124712"/>
    <w:rsid w:val="001266A4"/>
    <w:rsid w:val="0012723D"/>
    <w:rsid w:val="0013112D"/>
    <w:rsid w:val="00131A23"/>
    <w:rsid w:val="001337E3"/>
    <w:rsid w:val="0013391E"/>
    <w:rsid w:val="00133E57"/>
    <w:rsid w:val="00133E66"/>
    <w:rsid w:val="00133F31"/>
    <w:rsid w:val="00135367"/>
    <w:rsid w:val="00135E2E"/>
    <w:rsid w:val="00136168"/>
    <w:rsid w:val="00136B6A"/>
    <w:rsid w:val="00137384"/>
    <w:rsid w:val="00137A10"/>
    <w:rsid w:val="0014020C"/>
    <w:rsid w:val="001407F0"/>
    <w:rsid w:val="0014181D"/>
    <w:rsid w:val="00141ED7"/>
    <w:rsid w:val="0014283E"/>
    <w:rsid w:val="00143750"/>
    <w:rsid w:val="001441E7"/>
    <w:rsid w:val="001441ED"/>
    <w:rsid w:val="00144EB2"/>
    <w:rsid w:val="00145675"/>
    <w:rsid w:val="001461DD"/>
    <w:rsid w:val="00146B71"/>
    <w:rsid w:val="0014740C"/>
    <w:rsid w:val="001475F2"/>
    <w:rsid w:val="00147674"/>
    <w:rsid w:val="001477B7"/>
    <w:rsid w:val="001508D3"/>
    <w:rsid w:val="00151B92"/>
    <w:rsid w:val="0015298D"/>
    <w:rsid w:val="001530E9"/>
    <w:rsid w:val="001544A9"/>
    <w:rsid w:val="00154846"/>
    <w:rsid w:val="001548F8"/>
    <w:rsid w:val="00154F3F"/>
    <w:rsid w:val="00155897"/>
    <w:rsid w:val="0015621E"/>
    <w:rsid w:val="0015668D"/>
    <w:rsid w:val="0015787C"/>
    <w:rsid w:val="00160601"/>
    <w:rsid w:val="001614E4"/>
    <w:rsid w:val="00161776"/>
    <w:rsid w:val="00161876"/>
    <w:rsid w:val="00161B6B"/>
    <w:rsid w:val="00162290"/>
    <w:rsid w:val="001624EE"/>
    <w:rsid w:val="001629DC"/>
    <w:rsid w:val="00162E30"/>
    <w:rsid w:val="00163ED5"/>
    <w:rsid w:val="00163EF6"/>
    <w:rsid w:val="001646B3"/>
    <w:rsid w:val="001654BE"/>
    <w:rsid w:val="00166B9C"/>
    <w:rsid w:val="00166D40"/>
    <w:rsid w:val="00167591"/>
    <w:rsid w:val="00170015"/>
    <w:rsid w:val="0017083F"/>
    <w:rsid w:val="00170D95"/>
    <w:rsid w:val="00171079"/>
    <w:rsid w:val="00171604"/>
    <w:rsid w:val="00171E32"/>
    <w:rsid w:val="0017227F"/>
    <w:rsid w:val="00172367"/>
    <w:rsid w:val="00172802"/>
    <w:rsid w:val="00173929"/>
    <w:rsid w:val="00173F97"/>
    <w:rsid w:val="00175138"/>
    <w:rsid w:val="00175CDE"/>
    <w:rsid w:val="00175E33"/>
    <w:rsid w:val="00176B10"/>
    <w:rsid w:val="00177AC8"/>
    <w:rsid w:val="001805C1"/>
    <w:rsid w:val="001809BD"/>
    <w:rsid w:val="00180A1F"/>
    <w:rsid w:val="001810CD"/>
    <w:rsid w:val="0018139E"/>
    <w:rsid w:val="001828BA"/>
    <w:rsid w:val="0018470F"/>
    <w:rsid w:val="001854D8"/>
    <w:rsid w:val="001855DC"/>
    <w:rsid w:val="00185F28"/>
    <w:rsid w:val="0018658A"/>
    <w:rsid w:val="00187217"/>
    <w:rsid w:val="00187989"/>
    <w:rsid w:val="00187F87"/>
    <w:rsid w:val="00190C2F"/>
    <w:rsid w:val="001911B8"/>
    <w:rsid w:val="00191FE2"/>
    <w:rsid w:val="0019214F"/>
    <w:rsid w:val="00192AD8"/>
    <w:rsid w:val="00192E8D"/>
    <w:rsid w:val="0019370C"/>
    <w:rsid w:val="00194D07"/>
    <w:rsid w:val="001950A7"/>
    <w:rsid w:val="00195699"/>
    <w:rsid w:val="00195F13"/>
    <w:rsid w:val="00197729"/>
    <w:rsid w:val="00197D08"/>
    <w:rsid w:val="001A0489"/>
    <w:rsid w:val="001A125E"/>
    <w:rsid w:val="001A16D2"/>
    <w:rsid w:val="001A2DB6"/>
    <w:rsid w:val="001A2E15"/>
    <w:rsid w:val="001A2F9B"/>
    <w:rsid w:val="001A3956"/>
    <w:rsid w:val="001A5ADD"/>
    <w:rsid w:val="001A5B9C"/>
    <w:rsid w:val="001A644F"/>
    <w:rsid w:val="001A655C"/>
    <w:rsid w:val="001A6F50"/>
    <w:rsid w:val="001B0E24"/>
    <w:rsid w:val="001B11BA"/>
    <w:rsid w:val="001B26DB"/>
    <w:rsid w:val="001B2D2F"/>
    <w:rsid w:val="001B53B3"/>
    <w:rsid w:val="001B6CC2"/>
    <w:rsid w:val="001C0E18"/>
    <w:rsid w:val="001C13E7"/>
    <w:rsid w:val="001C2595"/>
    <w:rsid w:val="001C282F"/>
    <w:rsid w:val="001C2F8C"/>
    <w:rsid w:val="001C3B74"/>
    <w:rsid w:val="001C43B9"/>
    <w:rsid w:val="001C4C0B"/>
    <w:rsid w:val="001C4DDA"/>
    <w:rsid w:val="001C5533"/>
    <w:rsid w:val="001C65C4"/>
    <w:rsid w:val="001C7574"/>
    <w:rsid w:val="001D09ED"/>
    <w:rsid w:val="001D0ADC"/>
    <w:rsid w:val="001D0C09"/>
    <w:rsid w:val="001D1DAF"/>
    <w:rsid w:val="001D2B1F"/>
    <w:rsid w:val="001D322E"/>
    <w:rsid w:val="001D3B5E"/>
    <w:rsid w:val="001D4AEB"/>
    <w:rsid w:val="001D5910"/>
    <w:rsid w:val="001D60EB"/>
    <w:rsid w:val="001D6345"/>
    <w:rsid w:val="001D7BC7"/>
    <w:rsid w:val="001E243F"/>
    <w:rsid w:val="001E331F"/>
    <w:rsid w:val="001E401A"/>
    <w:rsid w:val="001E4796"/>
    <w:rsid w:val="001E4BE4"/>
    <w:rsid w:val="001E4D4A"/>
    <w:rsid w:val="001E5841"/>
    <w:rsid w:val="001E646B"/>
    <w:rsid w:val="001E649B"/>
    <w:rsid w:val="001E691F"/>
    <w:rsid w:val="001E7171"/>
    <w:rsid w:val="001E7B0F"/>
    <w:rsid w:val="001F02CE"/>
    <w:rsid w:val="001F0F25"/>
    <w:rsid w:val="001F2974"/>
    <w:rsid w:val="001F37D2"/>
    <w:rsid w:val="001F4187"/>
    <w:rsid w:val="001F490B"/>
    <w:rsid w:val="001F6B53"/>
    <w:rsid w:val="001F6CA1"/>
    <w:rsid w:val="001F6CF8"/>
    <w:rsid w:val="001F74F9"/>
    <w:rsid w:val="001F7F07"/>
    <w:rsid w:val="00200A06"/>
    <w:rsid w:val="00201ECE"/>
    <w:rsid w:val="0020274C"/>
    <w:rsid w:val="0020279D"/>
    <w:rsid w:val="00203650"/>
    <w:rsid w:val="00203C29"/>
    <w:rsid w:val="00203CE7"/>
    <w:rsid w:val="00204487"/>
    <w:rsid w:val="00204622"/>
    <w:rsid w:val="00206145"/>
    <w:rsid w:val="00206630"/>
    <w:rsid w:val="00206C1A"/>
    <w:rsid w:val="00206DBF"/>
    <w:rsid w:val="00207C05"/>
    <w:rsid w:val="00207F6A"/>
    <w:rsid w:val="00207FAC"/>
    <w:rsid w:val="00210507"/>
    <w:rsid w:val="0021097E"/>
    <w:rsid w:val="00210E77"/>
    <w:rsid w:val="0021188A"/>
    <w:rsid w:val="00211EA8"/>
    <w:rsid w:val="002132A4"/>
    <w:rsid w:val="00213BD3"/>
    <w:rsid w:val="00214FAB"/>
    <w:rsid w:val="00215050"/>
    <w:rsid w:val="00216746"/>
    <w:rsid w:val="00220DEF"/>
    <w:rsid w:val="00221F8D"/>
    <w:rsid w:val="002220B0"/>
    <w:rsid w:val="00222E4A"/>
    <w:rsid w:val="00223CD2"/>
    <w:rsid w:val="00224614"/>
    <w:rsid w:val="00226C8D"/>
    <w:rsid w:val="002270F9"/>
    <w:rsid w:val="00227A7C"/>
    <w:rsid w:val="00230535"/>
    <w:rsid w:val="002306F8"/>
    <w:rsid w:val="00230916"/>
    <w:rsid w:val="00230C44"/>
    <w:rsid w:val="00230C61"/>
    <w:rsid w:val="00231BCF"/>
    <w:rsid w:val="00231C8F"/>
    <w:rsid w:val="00232F2F"/>
    <w:rsid w:val="0023373A"/>
    <w:rsid w:val="00233A2E"/>
    <w:rsid w:val="00234768"/>
    <w:rsid w:val="00234C9C"/>
    <w:rsid w:val="00235A0E"/>
    <w:rsid w:val="00235E2E"/>
    <w:rsid w:val="0023617A"/>
    <w:rsid w:val="00236211"/>
    <w:rsid w:val="0023694E"/>
    <w:rsid w:val="00237146"/>
    <w:rsid w:val="0023794C"/>
    <w:rsid w:val="00240442"/>
    <w:rsid w:val="00241099"/>
    <w:rsid w:val="0024130D"/>
    <w:rsid w:val="00241BB2"/>
    <w:rsid w:val="00241CEF"/>
    <w:rsid w:val="002455BC"/>
    <w:rsid w:val="002456CE"/>
    <w:rsid w:val="002473DC"/>
    <w:rsid w:val="00250B7F"/>
    <w:rsid w:val="00250C3D"/>
    <w:rsid w:val="00250DF6"/>
    <w:rsid w:val="00251580"/>
    <w:rsid w:val="00251917"/>
    <w:rsid w:val="00251B40"/>
    <w:rsid w:val="00251D15"/>
    <w:rsid w:val="002526D4"/>
    <w:rsid w:val="00253008"/>
    <w:rsid w:val="00253579"/>
    <w:rsid w:val="00254D81"/>
    <w:rsid w:val="0025604D"/>
    <w:rsid w:val="00256FE7"/>
    <w:rsid w:val="00257A0B"/>
    <w:rsid w:val="00257CBC"/>
    <w:rsid w:val="00257E9A"/>
    <w:rsid w:val="002601AF"/>
    <w:rsid w:val="00261DCE"/>
    <w:rsid w:val="00261E3F"/>
    <w:rsid w:val="00262A90"/>
    <w:rsid w:val="00262AB6"/>
    <w:rsid w:val="00262F67"/>
    <w:rsid w:val="00263A5A"/>
    <w:rsid w:val="00263B2D"/>
    <w:rsid w:val="00263E22"/>
    <w:rsid w:val="00265359"/>
    <w:rsid w:val="002672B4"/>
    <w:rsid w:val="002677C7"/>
    <w:rsid w:val="00270700"/>
    <w:rsid w:val="00271527"/>
    <w:rsid w:val="00271541"/>
    <w:rsid w:val="002722AD"/>
    <w:rsid w:val="00272E6C"/>
    <w:rsid w:val="0027306D"/>
    <w:rsid w:val="002737EB"/>
    <w:rsid w:val="00273803"/>
    <w:rsid w:val="00273C27"/>
    <w:rsid w:val="00274654"/>
    <w:rsid w:val="00274735"/>
    <w:rsid w:val="00274A07"/>
    <w:rsid w:val="00274B74"/>
    <w:rsid w:val="00275133"/>
    <w:rsid w:val="002764D9"/>
    <w:rsid w:val="00281048"/>
    <w:rsid w:val="002815CB"/>
    <w:rsid w:val="00282388"/>
    <w:rsid w:val="00282554"/>
    <w:rsid w:val="00282CBF"/>
    <w:rsid w:val="00283134"/>
    <w:rsid w:val="0028374C"/>
    <w:rsid w:val="00284037"/>
    <w:rsid w:val="0028458F"/>
    <w:rsid w:val="00285C31"/>
    <w:rsid w:val="00286C03"/>
    <w:rsid w:val="00286CB3"/>
    <w:rsid w:val="00287787"/>
    <w:rsid w:val="00287F22"/>
    <w:rsid w:val="002911F9"/>
    <w:rsid w:val="002914C6"/>
    <w:rsid w:val="002917F3"/>
    <w:rsid w:val="00292133"/>
    <w:rsid w:val="002922AC"/>
    <w:rsid w:val="002923F0"/>
    <w:rsid w:val="00292439"/>
    <w:rsid w:val="00292496"/>
    <w:rsid w:val="002928BE"/>
    <w:rsid w:val="00292B18"/>
    <w:rsid w:val="00295C42"/>
    <w:rsid w:val="00296BE4"/>
    <w:rsid w:val="00296F4C"/>
    <w:rsid w:val="00297698"/>
    <w:rsid w:val="002A0879"/>
    <w:rsid w:val="002A08EA"/>
    <w:rsid w:val="002A0B9D"/>
    <w:rsid w:val="002A1501"/>
    <w:rsid w:val="002A156D"/>
    <w:rsid w:val="002A1A3A"/>
    <w:rsid w:val="002A1AC1"/>
    <w:rsid w:val="002A1BF2"/>
    <w:rsid w:val="002A2D60"/>
    <w:rsid w:val="002A3089"/>
    <w:rsid w:val="002A376B"/>
    <w:rsid w:val="002A3CCC"/>
    <w:rsid w:val="002A400B"/>
    <w:rsid w:val="002A4788"/>
    <w:rsid w:val="002A557D"/>
    <w:rsid w:val="002A5616"/>
    <w:rsid w:val="002A661D"/>
    <w:rsid w:val="002A7D91"/>
    <w:rsid w:val="002B10A8"/>
    <w:rsid w:val="002B2771"/>
    <w:rsid w:val="002B2E9A"/>
    <w:rsid w:val="002B3303"/>
    <w:rsid w:val="002B3FCA"/>
    <w:rsid w:val="002B46EC"/>
    <w:rsid w:val="002B481A"/>
    <w:rsid w:val="002B4A7D"/>
    <w:rsid w:val="002B4E7C"/>
    <w:rsid w:val="002B55D2"/>
    <w:rsid w:val="002B729B"/>
    <w:rsid w:val="002C016E"/>
    <w:rsid w:val="002C027E"/>
    <w:rsid w:val="002C0564"/>
    <w:rsid w:val="002C0B0D"/>
    <w:rsid w:val="002C0CBE"/>
    <w:rsid w:val="002C1971"/>
    <w:rsid w:val="002C1D5A"/>
    <w:rsid w:val="002C2635"/>
    <w:rsid w:val="002C282F"/>
    <w:rsid w:val="002C3E35"/>
    <w:rsid w:val="002C40B1"/>
    <w:rsid w:val="002C4B94"/>
    <w:rsid w:val="002C6B3C"/>
    <w:rsid w:val="002C79C3"/>
    <w:rsid w:val="002D11B5"/>
    <w:rsid w:val="002D1C52"/>
    <w:rsid w:val="002D1DA2"/>
    <w:rsid w:val="002D24A4"/>
    <w:rsid w:val="002D2A4D"/>
    <w:rsid w:val="002D3441"/>
    <w:rsid w:val="002D5EBF"/>
    <w:rsid w:val="002D66F0"/>
    <w:rsid w:val="002D72E7"/>
    <w:rsid w:val="002D7CDC"/>
    <w:rsid w:val="002E0090"/>
    <w:rsid w:val="002E07F3"/>
    <w:rsid w:val="002E0ECC"/>
    <w:rsid w:val="002E0FFA"/>
    <w:rsid w:val="002E170C"/>
    <w:rsid w:val="002E198F"/>
    <w:rsid w:val="002E245C"/>
    <w:rsid w:val="002E2D74"/>
    <w:rsid w:val="002E3B67"/>
    <w:rsid w:val="002E42BC"/>
    <w:rsid w:val="002E52A5"/>
    <w:rsid w:val="002E64AE"/>
    <w:rsid w:val="002E74E4"/>
    <w:rsid w:val="002F02BD"/>
    <w:rsid w:val="002F0C29"/>
    <w:rsid w:val="002F148D"/>
    <w:rsid w:val="002F1F5F"/>
    <w:rsid w:val="002F242E"/>
    <w:rsid w:val="002F244E"/>
    <w:rsid w:val="002F2FAC"/>
    <w:rsid w:val="002F3143"/>
    <w:rsid w:val="002F57D0"/>
    <w:rsid w:val="002F59C9"/>
    <w:rsid w:val="002F6402"/>
    <w:rsid w:val="002F67EF"/>
    <w:rsid w:val="002F7D43"/>
    <w:rsid w:val="0030014B"/>
    <w:rsid w:val="00300EDC"/>
    <w:rsid w:val="0030183B"/>
    <w:rsid w:val="00301D42"/>
    <w:rsid w:val="003031CA"/>
    <w:rsid w:val="00303A2C"/>
    <w:rsid w:val="00303FDF"/>
    <w:rsid w:val="00304373"/>
    <w:rsid w:val="00304397"/>
    <w:rsid w:val="003047AC"/>
    <w:rsid w:val="0030497A"/>
    <w:rsid w:val="00304DDD"/>
    <w:rsid w:val="00305C4A"/>
    <w:rsid w:val="00305E61"/>
    <w:rsid w:val="00305E8C"/>
    <w:rsid w:val="003065C2"/>
    <w:rsid w:val="0030706A"/>
    <w:rsid w:val="0030796E"/>
    <w:rsid w:val="00307F25"/>
    <w:rsid w:val="00310122"/>
    <w:rsid w:val="003109DA"/>
    <w:rsid w:val="003113F0"/>
    <w:rsid w:val="00311690"/>
    <w:rsid w:val="00311BA5"/>
    <w:rsid w:val="00312FE6"/>
    <w:rsid w:val="003140CA"/>
    <w:rsid w:val="0031491B"/>
    <w:rsid w:val="00314F74"/>
    <w:rsid w:val="0031645B"/>
    <w:rsid w:val="00316CC4"/>
    <w:rsid w:val="003174B4"/>
    <w:rsid w:val="00317506"/>
    <w:rsid w:val="00321160"/>
    <w:rsid w:val="00321948"/>
    <w:rsid w:val="00321950"/>
    <w:rsid w:val="00321ABA"/>
    <w:rsid w:val="003224F7"/>
    <w:rsid w:val="003234A1"/>
    <w:rsid w:val="0032442F"/>
    <w:rsid w:val="00324F62"/>
    <w:rsid w:val="003304D3"/>
    <w:rsid w:val="00330D71"/>
    <w:rsid w:val="00331CC0"/>
    <w:rsid w:val="00333199"/>
    <w:rsid w:val="003336F3"/>
    <w:rsid w:val="00333C68"/>
    <w:rsid w:val="00335A13"/>
    <w:rsid w:val="003367D6"/>
    <w:rsid w:val="00336A5D"/>
    <w:rsid w:val="00336CA9"/>
    <w:rsid w:val="00337F75"/>
    <w:rsid w:val="003401F7"/>
    <w:rsid w:val="00340671"/>
    <w:rsid w:val="00340CB3"/>
    <w:rsid w:val="00340D27"/>
    <w:rsid w:val="00341A09"/>
    <w:rsid w:val="00342069"/>
    <w:rsid w:val="00342C51"/>
    <w:rsid w:val="00342EBE"/>
    <w:rsid w:val="00344449"/>
    <w:rsid w:val="00344E1A"/>
    <w:rsid w:val="00345D05"/>
    <w:rsid w:val="00345D0E"/>
    <w:rsid w:val="00345FCC"/>
    <w:rsid w:val="0034637A"/>
    <w:rsid w:val="00346B2B"/>
    <w:rsid w:val="0034709D"/>
    <w:rsid w:val="00347614"/>
    <w:rsid w:val="00347ABC"/>
    <w:rsid w:val="00347EAC"/>
    <w:rsid w:val="003502E9"/>
    <w:rsid w:val="00350684"/>
    <w:rsid w:val="00350752"/>
    <w:rsid w:val="00350E8B"/>
    <w:rsid w:val="00351261"/>
    <w:rsid w:val="00352A3A"/>
    <w:rsid w:val="003563A6"/>
    <w:rsid w:val="0035692F"/>
    <w:rsid w:val="003600BB"/>
    <w:rsid w:val="00360A95"/>
    <w:rsid w:val="00360BD4"/>
    <w:rsid w:val="00360D86"/>
    <w:rsid w:val="003615C8"/>
    <w:rsid w:val="00361F41"/>
    <w:rsid w:val="003621EC"/>
    <w:rsid w:val="00362E91"/>
    <w:rsid w:val="003637CC"/>
    <w:rsid w:val="003649E9"/>
    <w:rsid w:val="00364DC3"/>
    <w:rsid w:val="003653D9"/>
    <w:rsid w:val="003676FD"/>
    <w:rsid w:val="003677A2"/>
    <w:rsid w:val="00370160"/>
    <w:rsid w:val="0037073B"/>
    <w:rsid w:val="003712B8"/>
    <w:rsid w:val="00373BD1"/>
    <w:rsid w:val="00374955"/>
    <w:rsid w:val="00374E46"/>
    <w:rsid w:val="00375E05"/>
    <w:rsid w:val="00377CD6"/>
    <w:rsid w:val="003801D0"/>
    <w:rsid w:val="0038065B"/>
    <w:rsid w:val="00381808"/>
    <w:rsid w:val="00382EF6"/>
    <w:rsid w:val="00383434"/>
    <w:rsid w:val="00383637"/>
    <w:rsid w:val="00384923"/>
    <w:rsid w:val="00384DA1"/>
    <w:rsid w:val="00384F9D"/>
    <w:rsid w:val="00385140"/>
    <w:rsid w:val="00386EE7"/>
    <w:rsid w:val="003878CD"/>
    <w:rsid w:val="00390B35"/>
    <w:rsid w:val="00390B60"/>
    <w:rsid w:val="00391CAE"/>
    <w:rsid w:val="00392803"/>
    <w:rsid w:val="003928EF"/>
    <w:rsid w:val="00392BFC"/>
    <w:rsid w:val="003934CB"/>
    <w:rsid w:val="00393A7D"/>
    <w:rsid w:val="0039474D"/>
    <w:rsid w:val="00396DC7"/>
    <w:rsid w:val="003972DA"/>
    <w:rsid w:val="00397DE4"/>
    <w:rsid w:val="003A2CA0"/>
    <w:rsid w:val="003A3198"/>
    <w:rsid w:val="003A356D"/>
    <w:rsid w:val="003A42CB"/>
    <w:rsid w:val="003A4AEF"/>
    <w:rsid w:val="003A5686"/>
    <w:rsid w:val="003A6166"/>
    <w:rsid w:val="003A6F67"/>
    <w:rsid w:val="003A7420"/>
    <w:rsid w:val="003A7544"/>
    <w:rsid w:val="003A754E"/>
    <w:rsid w:val="003A7950"/>
    <w:rsid w:val="003B0307"/>
    <w:rsid w:val="003B1BC0"/>
    <w:rsid w:val="003B3E73"/>
    <w:rsid w:val="003B49B3"/>
    <w:rsid w:val="003B4F70"/>
    <w:rsid w:val="003B605C"/>
    <w:rsid w:val="003B6907"/>
    <w:rsid w:val="003B6B83"/>
    <w:rsid w:val="003B7B26"/>
    <w:rsid w:val="003C05A5"/>
    <w:rsid w:val="003C13CA"/>
    <w:rsid w:val="003C2552"/>
    <w:rsid w:val="003C2812"/>
    <w:rsid w:val="003C322E"/>
    <w:rsid w:val="003C3C01"/>
    <w:rsid w:val="003C45BD"/>
    <w:rsid w:val="003C47AA"/>
    <w:rsid w:val="003C54AF"/>
    <w:rsid w:val="003C557F"/>
    <w:rsid w:val="003C5A7D"/>
    <w:rsid w:val="003C5CAF"/>
    <w:rsid w:val="003D0338"/>
    <w:rsid w:val="003D0CF7"/>
    <w:rsid w:val="003D1BA7"/>
    <w:rsid w:val="003D2127"/>
    <w:rsid w:val="003D2660"/>
    <w:rsid w:val="003D2A73"/>
    <w:rsid w:val="003D3841"/>
    <w:rsid w:val="003D3904"/>
    <w:rsid w:val="003D3C42"/>
    <w:rsid w:val="003D3DCD"/>
    <w:rsid w:val="003D466D"/>
    <w:rsid w:val="003D5958"/>
    <w:rsid w:val="003D5C8F"/>
    <w:rsid w:val="003D759D"/>
    <w:rsid w:val="003D76E0"/>
    <w:rsid w:val="003E04C8"/>
    <w:rsid w:val="003E1995"/>
    <w:rsid w:val="003E1D93"/>
    <w:rsid w:val="003E2189"/>
    <w:rsid w:val="003E22E0"/>
    <w:rsid w:val="003E2424"/>
    <w:rsid w:val="003E3902"/>
    <w:rsid w:val="003E3F34"/>
    <w:rsid w:val="003E47B1"/>
    <w:rsid w:val="003E4E7C"/>
    <w:rsid w:val="003E5350"/>
    <w:rsid w:val="003E61B8"/>
    <w:rsid w:val="003E63D1"/>
    <w:rsid w:val="003E6475"/>
    <w:rsid w:val="003E6604"/>
    <w:rsid w:val="003E689F"/>
    <w:rsid w:val="003E6B6D"/>
    <w:rsid w:val="003F0232"/>
    <w:rsid w:val="003F0530"/>
    <w:rsid w:val="003F168B"/>
    <w:rsid w:val="003F2478"/>
    <w:rsid w:val="003F249D"/>
    <w:rsid w:val="003F2573"/>
    <w:rsid w:val="003F2717"/>
    <w:rsid w:val="003F3027"/>
    <w:rsid w:val="003F3B48"/>
    <w:rsid w:val="003F3E99"/>
    <w:rsid w:val="003F4C1C"/>
    <w:rsid w:val="003F51CD"/>
    <w:rsid w:val="003F5E90"/>
    <w:rsid w:val="003F6465"/>
    <w:rsid w:val="003F71C6"/>
    <w:rsid w:val="003F780C"/>
    <w:rsid w:val="003F7AEF"/>
    <w:rsid w:val="00400A27"/>
    <w:rsid w:val="00401504"/>
    <w:rsid w:val="00401DF5"/>
    <w:rsid w:val="00402D14"/>
    <w:rsid w:val="00402D74"/>
    <w:rsid w:val="00403BE1"/>
    <w:rsid w:val="004043E1"/>
    <w:rsid w:val="0040451B"/>
    <w:rsid w:val="0040557D"/>
    <w:rsid w:val="004057AA"/>
    <w:rsid w:val="0040650C"/>
    <w:rsid w:val="00406A1C"/>
    <w:rsid w:val="0040773B"/>
    <w:rsid w:val="004077D9"/>
    <w:rsid w:val="0040786B"/>
    <w:rsid w:val="00407FC4"/>
    <w:rsid w:val="00410CD1"/>
    <w:rsid w:val="004117AA"/>
    <w:rsid w:val="00411BE4"/>
    <w:rsid w:val="004126D8"/>
    <w:rsid w:val="00412AFA"/>
    <w:rsid w:val="004131F3"/>
    <w:rsid w:val="004133A6"/>
    <w:rsid w:val="00413A24"/>
    <w:rsid w:val="00413FBF"/>
    <w:rsid w:val="004142C1"/>
    <w:rsid w:val="00415155"/>
    <w:rsid w:val="00416685"/>
    <w:rsid w:val="00416D34"/>
    <w:rsid w:val="004174A1"/>
    <w:rsid w:val="004176C7"/>
    <w:rsid w:val="00417723"/>
    <w:rsid w:val="00417988"/>
    <w:rsid w:val="00420CB1"/>
    <w:rsid w:val="00420EE6"/>
    <w:rsid w:val="00420EE8"/>
    <w:rsid w:val="00421374"/>
    <w:rsid w:val="004216A7"/>
    <w:rsid w:val="00421C68"/>
    <w:rsid w:val="0042323C"/>
    <w:rsid w:val="00423606"/>
    <w:rsid w:val="00423F32"/>
    <w:rsid w:val="00424ED3"/>
    <w:rsid w:val="00424F1C"/>
    <w:rsid w:val="00426653"/>
    <w:rsid w:val="00427852"/>
    <w:rsid w:val="00427E31"/>
    <w:rsid w:val="004305BA"/>
    <w:rsid w:val="0043072E"/>
    <w:rsid w:val="004308B6"/>
    <w:rsid w:val="00431056"/>
    <w:rsid w:val="00431FF0"/>
    <w:rsid w:val="00432021"/>
    <w:rsid w:val="00434D6D"/>
    <w:rsid w:val="00434F03"/>
    <w:rsid w:val="0043533B"/>
    <w:rsid w:val="0043591B"/>
    <w:rsid w:val="00435D12"/>
    <w:rsid w:val="00436CBB"/>
    <w:rsid w:val="0044248A"/>
    <w:rsid w:val="004425BD"/>
    <w:rsid w:val="00442632"/>
    <w:rsid w:val="00442F0E"/>
    <w:rsid w:val="004439F2"/>
    <w:rsid w:val="00444387"/>
    <w:rsid w:val="00444F83"/>
    <w:rsid w:val="00450B14"/>
    <w:rsid w:val="004515BB"/>
    <w:rsid w:val="004523DB"/>
    <w:rsid w:val="0045342A"/>
    <w:rsid w:val="004540E4"/>
    <w:rsid w:val="0045506B"/>
    <w:rsid w:val="00455230"/>
    <w:rsid w:val="004559C9"/>
    <w:rsid w:val="004561DC"/>
    <w:rsid w:val="00456D73"/>
    <w:rsid w:val="004571B9"/>
    <w:rsid w:val="0045757F"/>
    <w:rsid w:val="00460441"/>
    <w:rsid w:val="0046048C"/>
    <w:rsid w:val="004619FA"/>
    <w:rsid w:val="00461E02"/>
    <w:rsid w:val="00463DA2"/>
    <w:rsid w:val="00463F2A"/>
    <w:rsid w:val="004653F2"/>
    <w:rsid w:val="0046597F"/>
    <w:rsid w:val="00466C81"/>
    <w:rsid w:val="00466D13"/>
    <w:rsid w:val="00466E2E"/>
    <w:rsid w:val="004709D4"/>
    <w:rsid w:val="00471619"/>
    <w:rsid w:val="00472768"/>
    <w:rsid w:val="004745F7"/>
    <w:rsid w:val="00474EEB"/>
    <w:rsid w:val="0047577B"/>
    <w:rsid w:val="00475A44"/>
    <w:rsid w:val="00475BC4"/>
    <w:rsid w:val="00475D33"/>
    <w:rsid w:val="004762D7"/>
    <w:rsid w:val="00476BBF"/>
    <w:rsid w:val="00476F6A"/>
    <w:rsid w:val="004776BA"/>
    <w:rsid w:val="00477BEE"/>
    <w:rsid w:val="00481E01"/>
    <w:rsid w:val="00482731"/>
    <w:rsid w:val="00482F8A"/>
    <w:rsid w:val="00483754"/>
    <w:rsid w:val="00483EC5"/>
    <w:rsid w:val="00484031"/>
    <w:rsid w:val="0048435D"/>
    <w:rsid w:val="00484917"/>
    <w:rsid w:val="004853B7"/>
    <w:rsid w:val="00485412"/>
    <w:rsid w:val="004855DB"/>
    <w:rsid w:val="00485A95"/>
    <w:rsid w:val="00485D86"/>
    <w:rsid w:val="00485EE8"/>
    <w:rsid w:val="004867AF"/>
    <w:rsid w:val="00486902"/>
    <w:rsid w:val="00487025"/>
    <w:rsid w:val="00487662"/>
    <w:rsid w:val="004877FC"/>
    <w:rsid w:val="00487D86"/>
    <w:rsid w:val="00490BAB"/>
    <w:rsid w:val="00490EEA"/>
    <w:rsid w:val="00491516"/>
    <w:rsid w:val="004929BF"/>
    <w:rsid w:val="00492A77"/>
    <w:rsid w:val="00493029"/>
    <w:rsid w:val="004942FC"/>
    <w:rsid w:val="0049490E"/>
    <w:rsid w:val="00496365"/>
    <w:rsid w:val="00496B16"/>
    <w:rsid w:val="00496B1C"/>
    <w:rsid w:val="004A0A33"/>
    <w:rsid w:val="004A2097"/>
    <w:rsid w:val="004A2AF1"/>
    <w:rsid w:val="004A2CCB"/>
    <w:rsid w:val="004A2F06"/>
    <w:rsid w:val="004A315C"/>
    <w:rsid w:val="004A324E"/>
    <w:rsid w:val="004A3687"/>
    <w:rsid w:val="004A3CC9"/>
    <w:rsid w:val="004A3D40"/>
    <w:rsid w:val="004A42A2"/>
    <w:rsid w:val="004A4892"/>
    <w:rsid w:val="004A4B4E"/>
    <w:rsid w:val="004A4C46"/>
    <w:rsid w:val="004A5499"/>
    <w:rsid w:val="004A69BD"/>
    <w:rsid w:val="004A717B"/>
    <w:rsid w:val="004A7F89"/>
    <w:rsid w:val="004B002C"/>
    <w:rsid w:val="004B0271"/>
    <w:rsid w:val="004B02EC"/>
    <w:rsid w:val="004B2C9C"/>
    <w:rsid w:val="004B3F21"/>
    <w:rsid w:val="004B422A"/>
    <w:rsid w:val="004B43DC"/>
    <w:rsid w:val="004B66EC"/>
    <w:rsid w:val="004B6EAE"/>
    <w:rsid w:val="004B7E9F"/>
    <w:rsid w:val="004B7FCF"/>
    <w:rsid w:val="004C00F8"/>
    <w:rsid w:val="004C22B1"/>
    <w:rsid w:val="004C27AA"/>
    <w:rsid w:val="004C3769"/>
    <w:rsid w:val="004C4F7A"/>
    <w:rsid w:val="004C4FD6"/>
    <w:rsid w:val="004C5264"/>
    <w:rsid w:val="004C5A19"/>
    <w:rsid w:val="004C7717"/>
    <w:rsid w:val="004C7997"/>
    <w:rsid w:val="004C7D17"/>
    <w:rsid w:val="004C7FD2"/>
    <w:rsid w:val="004D180E"/>
    <w:rsid w:val="004D1EB4"/>
    <w:rsid w:val="004D1F79"/>
    <w:rsid w:val="004D2C66"/>
    <w:rsid w:val="004D38AB"/>
    <w:rsid w:val="004D4BF8"/>
    <w:rsid w:val="004D4EB6"/>
    <w:rsid w:val="004D5438"/>
    <w:rsid w:val="004D5A64"/>
    <w:rsid w:val="004D6A79"/>
    <w:rsid w:val="004D7640"/>
    <w:rsid w:val="004E08AE"/>
    <w:rsid w:val="004E1979"/>
    <w:rsid w:val="004E3D0D"/>
    <w:rsid w:val="004E3E7A"/>
    <w:rsid w:val="004E40A4"/>
    <w:rsid w:val="004E4EE5"/>
    <w:rsid w:val="004E5B14"/>
    <w:rsid w:val="004E659A"/>
    <w:rsid w:val="004E7893"/>
    <w:rsid w:val="004F1015"/>
    <w:rsid w:val="004F13C2"/>
    <w:rsid w:val="004F147D"/>
    <w:rsid w:val="004F14FD"/>
    <w:rsid w:val="004F1AFC"/>
    <w:rsid w:val="004F2AA8"/>
    <w:rsid w:val="004F3140"/>
    <w:rsid w:val="004F4CD0"/>
    <w:rsid w:val="004F4F9B"/>
    <w:rsid w:val="004F6A7E"/>
    <w:rsid w:val="004F6C21"/>
    <w:rsid w:val="004F7943"/>
    <w:rsid w:val="005002C6"/>
    <w:rsid w:val="0050072B"/>
    <w:rsid w:val="00502371"/>
    <w:rsid w:val="00502708"/>
    <w:rsid w:val="00502861"/>
    <w:rsid w:val="00502ECB"/>
    <w:rsid w:val="0050325B"/>
    <w:rsid w:val="00503F60"/>
    <w:rsid w:val="00504911"/>
    <w:rsid w:val="00504AC8"/>
    <w:rsid w:val="005051BB"/>
    <w:rsid w:val="00511FC5"/>
    <w:rsid w:val="0051213B"/>
    <w:rsid w:val="00512BF2"/>
    <w:rsid w:val="00513313"/>
    <w:rsid w:val="0051340B"/>
    <w:rsid w:val="005138FF"/>
    <w:rsid w:val="00513A44"/>
    <w:rsid w:val="0051462B"/>
    <w:rsid w:val="0051474B"/>
    <w:rsid w:val="00514A08"/>
    <w:rsid w:val="00514F3E"/>
    <w:rsid w:val="005152F5"/>
    <w:rsid w:val="00520ABF"/>
    <w:rsid w:val="00520BE9"/>
    <w:rsid w:val="005219BB"/>
    <w:rsid w:val="00522A07"/>
    <w:rsid w:val="00522E47"/>
    <w:rsid w:val="005230C1"/>
    <w:rsid w:val="00523F0F"/>
    <w:rsid w:val="00524B01"/>
    <w:rsid w:val="0052529D"/>
    <w:rsid w:val="0052530D"/>
    <w:rsid w:val="0052569D"/>
    <w:rsid w:val="00525F53"/>
    <w:rsid w:val="0052694F"/>
    <w:rsid w:val="005275A3"/>
    <w:rsid w:val="00528070"/>
    <w:rsid w:val="005305B2"/>
    <w:rsid w:val="00530D85"/>
    <w:rsid w:val="00531297"/>
    <w:rsid w:val="0053135C"/>
    <w:rsid w:val="00531967"/>
    <w:rsid w:val="00532A5F"/>
    <w:rsid w:val="00534A83"/>
    <w:rsid w:val="005352BA"/>
    <w:rsid w:val="00535FD7"/>
    <w:rsid w:val="00536118"/>
    <w:rsid w:val="005363A8"/>
    <w:rsid w:val="00536D29"/>
    <w:rsid w:val="00537386"/>
    <w:rsid w:val="00537E61"/>
    <w:rsid w:val="005420FE"/>
    <w:rsid w:val="00542C62"/>
    <w:rsid w:val="00542C7C"/>
    <w:rsid w:val="00543A14"/>
    <w:rsid w:val="00546F13"/>
    <w:rsid w:val="0054799D"/>
    <w:rsid w:val="00547F9B"/>
    <w:rsid w:val="005500A4"/>
    <w:rsid w:val="00550302"/>
    <w:rsid w:val="005512A2"/>
    <w:rsid w:val="005512F8"/>
    <w:rsid w:val="00551FA6"/>
    <w:rsid w:val="005523B6"/>
    <w:rsid w:val="00552E60"/>
    <w:rsid w:val="0055337B"/>
    <w:rsid w:val="00553673"/>
    <w:rsid w:val="00553E11"/>
    <w:rsid w:val="00554C10"/>
    <w:rsid w:val="00555BB0"/>
    <w:rsid w:val="0055695D"/>
    <w:rsid w:val="00556BB3"/>
    <w:rsid w:val="00556F91"/>
    <w:rsid w:val="005570A0"/>
    <w:rsid w:val="0055718E"/>
    <w:rsid w:val="0055741C"/>
    <w:rsid w:val="00557A3F"/>
    <w:rsid w:val="005603CB"/>
    <w:rsid w:val="00561055"/>
    <w:rsid w:val="005617EB"/>
    <w:rsid w:val="00561F28"/>
    <w:rsid w:val="0056221E"/>
    <w:rsid w:val="00562AE4"/>
    <w:rsid w:val="00564711"/>
    <w:rsid w:val="00566271"/>
    <w:rsid w:val="0056696F"/>
    <w:rsid w:val="00566E67"/>
    <w:rsid w:val="00567A79"/>
    <w:rsid w:val="00567E9C"/>
    <w:rsid w:val="00570015"/>
    <w:rsid w:val="0057021A"/>
    <w:rsid w:val="005704B4"/>
    <w:rsid w:val="00570534"/>
    <w:rsid w:val="005706F2"/>
    <w:rsid w:val="0057130D"/>
    <w:rsid w:val="00571F75"/>
    <w:rsid w:val="005747D3"/>
    <w:rsid w:val="00575614"/>
    <w:rsid w:val="00576068"/>
    <w:rsid w:val="0057725A"/>
    <w:rsid w:val="005777B3"/>
    <w:rsid w:val="005811F6"/>
    <w:rsid w:val="00581F6B"/>
    <w:rsid w:val="00582BC2"/>
    <w:rsid w:val="00582F62"/>
    <w:rsid w:val="00582FE5"/>
    <w:rsid w:val="005830DA"/>
    <w:rsid w:val="005842EF"/>
    <w:rsid w:val="00584893"/>
    <w:rsid w:val="005853D9"/>
    <w:rsid w:val="005859EF"/>
    <w:rsid w:val="00586C1C"/>
    <w:rsid w:val="00587A6F"/>
    <w:rsid w:val="00590222"/>
    <w:rsid w:val="005903AF"/>
    <w:rsid w:val="00590D9F"/>
    <w:rsid w:val="0059124D"/>
    <w:rsid w:val="00591661"/>
    <w:rsid w:val="00592469"/>
    <w:rsid w:val="00593F95"/>
    <w:rsid w:val="00594871"/>
    <w:rsid w:val="00594F45"/>
    <w:rsid w:val="005963C0"/>
    <w:rsid w:val="00597630"/>
    <w:rsid w:val="00597B52"/>
    <w:rsid w:val="00597E6A"/>
    <w:rsid w:val="005A0270"/>
    <w:rsid w:val="005A0A3E"/>
    <w:rsid w:val="005A1387"/>
    <w:rsid w:val="005A14A1"/>
    <w:rsid w:val="005A1E33"/>
    <w:rsid w:val="005A2479"/>
    <w:rsid w:val="005A3071"/>
    <w:rsid w:val="005A354C"/>
    <w:rsid w:val="005A5E6B"/>
    <w:rsid w:val="005A7577"/>
    <w:rsid w:val="005B0704"/>
    <w:rsid w:val="005B085A"/>
    <w:rsid w:val="005B0FFE"/>
    <w:rsid w:val="005B1211"/>
    <w:rsid w:val="005B17B6"/>
    <w:rsid w:val="005B1846"/>
    <w:rsid w:val="005B1CFF"/>
    <w:rsid w:val="005B2326"/>
    <w:rsid w:val="005B2AC1"/>
    <w:rsid w:val="005B31BF"/>
    <w:rsid w:val="005B3CA2"/>
    <w:rsid w:val="005B473E"/>
    <w:rsid w:val="005B4AE6"/>
    <w:rsid w:val="005B5F58"/>
    <w:rsid w:val="005B6713"/>
    <w:rsid w:val="005B6D73"/>
    <w:rsid w:val="005B7F2A"/>
    <w:rsid w:val="005C11E6"/>
    <w:rsid w:val="005C1FDF"/>
    <w:rsid w:val="005C2513"/>
    <w:rsid w:val="005C2698"/>
    <w:rsid w:val="005C2E86"/>
    <w:rsid w:val="005C3864"/>
    <w:rsid w:val="005C3B56"/>
    <w:rsid w:val="005C62D1"/>
    <w:rsid w:val="005C6E71"/>
    <w:rsid w:val="005C7CC2"/>
    <w:rsid w:val="005D2B6E"/>
    <w:rsid w:val="005D2CDC"/>
    <w:rsid w:val="005D41FE"/>
    <w:rsid w:val="005D4454"/>
    <w:rsid w:val="005D4B84"/>
    <w:rsid w:val="005D54CF"/>
    <w:rsid w:val="005D5F8E"/>
    <w:rsid w:val="005D6B29"/>
    <w:rsid w:val="005D6BFD"/>
    <w:rsid w:val="005D770C"/>
    <w:rsid w:val="005E0277"/>
    <w:rsid w:val="005E02D0"/>
    <w:rsid w:val="005E059A"/>
    <w:rsid w:val="005E314B"/>
    <w:rsid w:val="005E38ED"/>
    <w:rsid w:val="005E3A19"/>
    <w:rsid w:val="005E3ECF"/>
    <w:rsid w:val="005E4BEB"/>
    <w:rsid w:val="005E4C96"/>
    <w:rsid w:val="005E4D99"/>
    <w:rsid w:val="005E6F34"/>
    <w:rsid w:val="005E7123"/>
    <w:rsid w:val="005E7B15"/>
    <w:rsid w:val="005E7D9B"/>
    <w:rsid w:val="005F0072"/>
    <w:rsid w:val="005F10C4"/>
    <w:rsid w:val="005F27D5"/>
    <w:rsid w:val="005F3019"/>
    <w:rsid w:val="005F319E"/>
    <w:rsid w:val="005F3385"/>
    <w:rsid w:val="005F4440"/>
    <w:rsid w:val="005F4CD6"/>
    <w:rsid w:val="005F52D2"/>
    <w:rsid w:val="005F5B55"/>
    <w:rsid w:val="005F5D6E"/>
    <w:rsid w:val="005F5ED3"/>
    <w:rsid w:val="005F600E"/>
    <w:rsid w:val="005F6445"/>
    <w:rsid w:val="005F66AD"/>
    <w:rsid w:val="005F712C"/>
    <w:rsid w:val="006003B7"/>
    <w:rsid w:val="00600C7E"/>
    <w:rsid w:val="00601B8F"/>
    <w:rsid w:val="00601ED8"/>
    <w:rsid w:val="006029A1"/>
    <w:rsid w:val="00602D1A"/>
    <w:rsid w:val="0060358F"/>
    <w:rsid w:val="006038F3"/>
    <w:rsid w:val="00604984"/>
    <w:rsid w:val="00604A2D"/>
    <w:rsid w:val="006051B2"/>
    <w:rsid w:val="006056C4"/>
    <w:rsid w:val="00605A25"/>
    <w:rsid w:val="00606318"/>
    <w:rsid w:val="006064DB"/>
    <w:rsid w:val="00607CC2"/>
    <w:rsid w:val="00610388"/>
    <w:rsid w:val="006119F4"/>
    <w:rsid w:val="0061234E"/>
    <w:rsid w:val="00612368"/>
    <w:rsid w:val="006133DB"/>
    <w:rsid w:val="0061340A"/>
    <w:rsid w:val="00614D1E"/>
    <w:rsid w:val="0061558A"/>
    <w:rsid w:val="00615A9B"/>
    <w:rsid w:val="0061664C"/>
    <w:rsid w:val="006168E6"/>
    <w:rsid w:val="00616A6F"/>
    <w:rsid w:val="00620199"/>
    <w:rsid w:val="00620DF5"/>
    <w:rsid w:val="00620FFE"/>
    <w:rsid w:val="0062256A"/>
    <w:rsid w:val="0062261F"/>
    <w:rsid w:val="006228C5"/>
    <w:rsid w:val="00622B02"/>
    <w:rsid w:val="00622B33"/>
    <w:rsid w:val="00622F0E"/>
    <w:rsid w:val="00624E00"/>
    <w:rsid w:val="006256C6"/>
    <w:rsid w:val="00625CC2"/>
    <w:rsid w:val="00626508"/>
    <w:rsid w:val="00631BF2"/>
    <w:rsid w:val="00632160"/>
    <w:rsid w:val="006321E8"/>
    <w:rsid w:val="0063249D"/>
    <w:rsid w:val="00632B39"/>
    <w:rsid w:val="00632B86"/>
    <w:rsid w:val="00632CAB"/>
    <w:rsid w:val="00634439"/>
    <w:rsid w:val="006345CF"/>
    <w:rsid w:val="0063469C"/>
    <w:rsid w:val="00634EA4"/>
    <w:rsid w:val="00636632"/>
    <w:rsid w:val="006402F8"/>
    <w:rsid w:val="006406E9"/>
    <w:rsid w:val="00640E41"/>
    <w:rsid w:val="00641282"/>
    <w:rsid w:val="00641896"/>
    <w:rsid w:val="00641BE5"/>
    <w:rsid w:val="00642837"/>
    <w:rsid w:val="00642861"/>
    <w:rsid w:val="0064291A"/>
    <w:rsid w:val="0064305C"/>
    <w:rsid w:val="006439AA"/>
    <w:rsid w:val="00643DF9"/>
    <w:rsid w:val="00643EB5"/>
    <w:rsid w:val="0064447A"/>
    <w:rsid w:val="006449FF"/>
    <w:rsid w:val="00645110"/>
    <w:rsid w:val="006453D5"/>
    <w:rsid w:val="00645548"/>
    <w:rsid w:val="00645576"/>
    <w:rsid w:val="006467FC"/>
    <w:rsid w:val="00646CFB"/>
    <w:rsid w:val="0064746F"/>
    <w:rsid w:val="00647B21"/>
    <w:rsid w:val="00647B85"/>
    <w:rsid w:val="00650DE6"/>
    <w:rsid w:val="00651719"/>
    <w:rsid w:val="00651DE1"/>
    <w:rsid w:val="00652FFC"/>
    <w:rsid w:val="006535C6"/>
    <w:rsid w:val="0065394A"/>
    <w:rsid w:val="00653AEE"/>
    <w:rsid w:val="00653F84"/>
    <w:rsid w:val="00654263"/>
    <w:rsid w:val="00654831"/>
    <w:rsid w:val="00654846"/>
    <w:rsid w:val="006548AF"/>
    <w:rsid w:val="00654AC3"/>
    <w:rsid w:val="00655601"/>
    <w:rsid w:val="00655BA8"/>
    <w:rsid w:val="00655CB3"/>
    <w:rsid w:val="00655D3D"/>
    <w:rsid w:val="006561DF"/>
    <w:rsid w:val="006562AE"/>
    <w:rsid w:val="0065696E"/>
    <w:rsid w:val="00656E82"/>
    <w:rsid w:val="006603DA"/>
    <w:rsid w:val="006604F6"/>
    <w:rsid w:val="00661CA4"/>
    <w:rsid w:val="006620A4"/>
    <w:rsid w:val="00662163"/>
    <w:rsid w:val="006621FF"/>
    <w:rsid w:val="00662368"/>
    <w:rsid w:val="00662639"/>
    <w:rsid w:val="00663A56"/>
    <w:rsid w:val="00664EFB"/>
    <w:rsid w:val="0066532D"/>
    <w:rsid w:val="00665723"/>
    <w:rsid w:val="00665A23"/>
    <w:rsid w:val="00665DBB"/>
    <w:rsid w:val="00665E58"/>
    <w:rsid w:val="006666C4"/>
    <w:rsid w:val="00667F15"/>
    <w:rsid w:val="006700C5"/>
    <w:rsid w:val="0067053C"/>
    <w:rsid w:val="00670D39"/>
    <w:rsid w:val="00671E74"/>
    <w:rsid w:val="006720D2"/>
    <w:rsid w:val="00673B90"/>
    <w:rsid w:val="00673E14"/>
    <w:rsid w:val="00674CF5"/>
    <w:rsid w:val="00674E77"/>
    <w:rsid w:val="00675A23"/>
    <w:rsid w:val="00675C41"/>
    <w:rsid w:val="00675C99"/>
    <w:rsid w:val="00675D7A"/>
    <w:rsid w:val="006779B6"/>
    <w:rsid w:val="00677AA4"/>
    <w:rsid w:val="00677AB2"/>
    <w:rsid w:val="00680F7A"/>
    <w:rsid w:val="00681496"/>
    <w:rsid w:val="00681544"/>
    <w:rsid w:val="0068243F"/>
    <w:rsid w:val="00683D85"/>
    <w:rsid w:val="006841B2"/>
    <w:rsid w:val="00684337"/>
    <w:rsid w:val="0068448A"/>
    <w:rsid w:val="0068537F"/>
    <w:rsid w:val="0068660A"/>
    <w:rsid w:val="00686F09"/>
    <w:rsid w:val="0068744F"/>
    <w:rsid w:val="006875A0"/>
    <w:rsid w:val="00687C99"/>
    <w:rsid w:val="00690386"/>
    <w:rsid w:val="006908CB"/>
    <w:rsid w:val="00690AE8"/>
    <w:rsid w:val="00691471"/>
    <w:rsid w:val="00691830"/>
    <w:rsid w:val="006924C0"/>
    <w:rsid w:val="006930E4"/>
    <w:rsid w:val="00693880"/>
    <w:rsid w:val="00693BBC"/>
    <w:rsid w:val="00693DDF"/>
    <w:rsid w:val="00693F19"/>
    <w:rsid w:val="00694CCE"/>
    <w:rsid w:val="0069505A"/>
    <w:rsid w:val="00695809"/>
    <w:rsid w:val="006A0A70"/>
    <w:rsid w:val="006A0E39"/>
    <w:rsid w:val="006A14A7"/>
    <w:rsid w:val="006A1AA8"/>
    <w:rsid w:val="006A1DB4"/>
    <w:rsid w:val="006A1FD7"/>
    <w:rsid w:val="006A239E"/>
    <w:rsid w:val="006A29C4"/>
    <w:rsid w:val="006A2F65"/>
    <w:rsid w:val="006A32CE"/>
    <w:rsid w:val="006A359D"/>
    <w:rsid w:val="006A384F"/>
    <w:rsid w:val="006A3FAC"/>
    <w:rsid w:val="006A4B6A"/>
    <w:rsid w:val="006A52F6"/>
    <w:rsid w:val="006A6851"/>
    <w:rsid w:val="006A78F4"/>
    <w:rsid w:val="006B0289"/>
    <w:rsid w:val="006B1331"/>
    <w:rsid w:val="006B2405"/>
    <w:rsid w:val="006B25CA"/>
    <w:rsid w:val="006B2825"/>
    <w:rsid w:val="006B2AF5"/>
    <w:rsid w:val="006B3248"/>
    <w:rsid w:val="006B48CA"/>
    <w:rsid w:val="006B4E5D"/>
    <w:rsid w:val="006B50CC"/>
    <w:rsid w:val="006B5E1A"/>
    <w:rsid w:val="006B6234"/>
    <w:rsid w:val="006B6B3C"/>
    <w:rsid w:val="006B7D6F"/>
    <w:rsid w:val="006C0268"/>
    <w:rsid w:val="006C0B63"/>
    <w:rsid w:val="006C20F2"/>
    <w:rsid w:val="006C26F3"/>
    <w:rsid w:val="006C2712"/>
    <w:rsid w:val="006C27A3"/>
    <w:rsid w:val="006C3813"/>
    <w:rsid w:val="006C3CB3"/>
    <w:rsid w:val="006C3FED"/>
    <w:rsid w:val="006C4D2B"/>
    <w:rsid w:val="006C6212"/>
    <w:rsid w:val="006C6436"/>
    <w:rsid w:val="006C6589"/>
    <w:rsid w:val="006C705B"/>
    <w:rsid w:val="006C7281"/>
    <w:rsid w:val="006C7A24"/>
    <w:rsid w:val="006D1651"/>
    <w:rsid w:val="006D199A"/>
    <w:rsid w:val="006D299A"/>
    <w:rsid w:val="006D33C3"/>
    <w:rsid w:val="006D35E1"/>
    <w:rsid w:val="006D3B68"/>
    <w:rsid w:val="006D443E"/>
    <w:rsid w:val="006D6E71"/>
    <w:rsid w:val="006D7F78"/>
    <w:rsid w:val="006E035E"/>
    <w:rsid w:val="006E07BB"/>
    <w:rsid w:val="006E10A0"/>
    <w:rsid w:val="006E1B8E"/>
    <w:rsid w:val="006E1ECC"/>
    <w:rsid w:val="006E2470"/>
    <w:rsid w:val="006E2D40"/>
    <w:rsid w:val="006E49A7"/>
    <w:rsid w:val="006E5FD2"/>
    <w:rsid w:val="006E755E"/>
    <w:rsid w:val="006E7DE8"/>
    <w:rsid w:val="006E7F48"/>
    <w:rsid w:val="006F02B1"/>
    <w:rsid w:val="006F036C"/>
    <w:rsid w:val="006F07A0"/>
    <w:rsid w:val="006F0940"/>
    <w:rsid w:val="006F28A5"/>
    <w:rsid w:val="006F2FB7"/>
    <w:rsid w:val="006F31CD"/>
    <w:rsid w:val="006F3B81"/>
    <w:rsid w:val="006F478B"/>
    <w:rsid w:val="006F47C7"/>
    <w:rsid w:val="006F492A"/>
    <w:rsid w:val="006F52B6"/>
    <w:rsid w:val="006F74F1"/>
    <w:rsid w:val="006F7A95"/>
    <w:rsid w:val="007005A1"/>
    <w:rsid w:val="0070125B"/>
    <w:rsid w:val="007015F2"/>
    <w:rsid w:val="00701AD9"/>
    <w:rsid w:val="007029AA"/>
    <w:rsid w:val="007031E7"/>
    <w:rsid w:val="007035D0"/>
    <w:rsid w:val="0070384F"/>
    <w:rsid w:val="00703DAE"/>
    <w:rsid w:val="00703DC6"/>
    <w:rsid w:val="00704ACB"/>
    <w:rsid w:val="00705259"/>
    <w:rsid w:val="007053AF"/>
    <w:rsid w:val="00706A52"/>
    <w:rsid w:val="00706E1D"/>
    <w:rsid w:val="00706EBB"/>
    <w:rsid w:val="007079E7"/>
    <w:rsid w:val="0071130F"/>
    <w:rsid w:val="0071194A"/>
    <w:rsid w:val="007119E1"/>
    <w:rsid w:val="0071310A"/>
    <w:rsid w:val="00713722"/>
    <w:rsid w:val="007144AE"/>
    <w:rsid w:val="00714D86"/>
    <w:rsid w:val="0071531B"/>
    <w:rsid w:val="00715339"/>
    <w:rsid w:val="007155E8"/>
    <w:rsid w:val="007157F2"/>
    <w:rsid w:val="00715E5D"/>
    <w:rsid w:val="007161E3"/>
    <w:rsid w:val="0071701F"/>
    <w:rsid w:val="007179ED"/>
    <w:rsid w:val="00717B07"/>
    <w:rsid w:val="00720D29"/>
    <w:rsid w:val="0072146E"/>
    <w:rsid w:val="007215CD"/>
    <w:rsid w:val="00721B13"/>
    <w:rsid w:val="007226BA"/>
    <w:rsid w:val="00722C3F"/>
    <w:rsid w:val="00724146"/>
    <w:rsid w:val="00725D84"/>
    <w:rsid w:val="007264BC"/>
    <w:rsid w:val="00726D53"/>
    <w:rsid w:val="00727D92"/>
    <w:rsid w:val="00730B93"/>
    <w:rsid w:val="0073182C"/>
    <w:rsid w:val="00732ABA"/>
    <w:rsid w:val="00732C23"/>
    <w:rsid w:val="00732D25"/>
    <w:rsid w:val="00734299"/>
    <w:rsid w:val="00734BDA"/>
    <w:rsid w:val="00735788"/>
    <w:rsid w:val="00735FD3"/>
    <w:rsid w:val="00736123"/>
    <w:rsid w:val="0073666D"/>
    <w:rsid w:val="00736F21"/>
    <w:rsid w:val="00741B3F"/>
    <w:rsid w:val="00741B9C"/>
    <w:rsid w:val="0074234A"/>
    <w:rsid w:val="0074390B"/>
    <w:rsid w:val="007439E5"/>
    <w:rsid w:val="00743E18"/>
    <w:rsid w:val="00744109"/>
    <w:rsid w:val="007461B3"/>
    <w:rsid w:val="0074669D"/>
    <w:rsid w:val="00746FEA"/>
    <w:rsid w:val="0074701B"/>
    <w:rsid w:val="00751DAA"/>
    <w:rsid w:val="007528B9"/>
    <w:rsid w:val="00754739"/>
    <w:rsid w:val="0075734B"/>
    <w:rsid w:val="00757C6F"/>
    <w:rsid w:val="007601A9"/>
    <w:rsid w:val="00760F80"/>
    <w:rsid w:val="00761FEE"/>
    <w:rsid w:val="00762A98"/>
    <w:rsid w:val="00762CE2"/>
    <w:rsid w:val="00763961"/>
    <w:rsid w:val="0076413B"/>
    <w:rsid w:val="007659CD"/>
    <w:rsid w:val="00766882"/>
    <w:rsid w:val="007679C1"/>
    <w:rsid w:val="00767D74"/>
    <w:rsid w:val="007703A9"/>
    <w:rsid w:val="00770F82"/>
    <w:rsid w:val="00771668"/>
    <w:rsid w:val="00772009"/>
    <w:rsid w:val="00772132"/>
    <w:rsid w:val="00772478"/>
    <w:rsid w:val="00775201"/>
    <w:rsid w:val="007757F8"/>
    <w:rsid w:val="00775E9E"/>
    <w:rsid w:val="0077611D"/>
    <w:rsid w:val="0077677F"/>
    <w:rsid w:val="00776E2C"/>
    <w:rsid w:val="007773CF"/>
    <w:rsid w:val="00777A72"/>
    <w:rsid w:val="00780BF7"/>
    <w:rsid w:val="00781670"/>
    <w:rsid w:val="0078437D"/>
    <w:rsid w:val="00785192"/>
    <w:rsid w:val="00785E7E"/>
    <w:rsid w:val="00787BF7"/>
    <w:rsid w:val="00791545"/>
    <w:rsid w:val="00791DCF"/>
    <w:rsid w:val="007920B8"/>
    <w:rsid w:val="00795E04"/>
    <w:rsid w:val="00796078"/>
    <w:rsid w:val="00796A4F"/>
    <w:rsid w:val="007975E8"/>
    <w:rsid w:val="007A0299"/>
    <w:rsid w:val="007A0E2D"/>
    <w:rsid w:val="007A1D8A"/>
    <w:rsid w:val="007A254C"/>
    <w:rsid w:val="007A28A6"/>
    <w:rsid w:val="007A2D2A"/>
    <w:rsid w:val="007A3E90"/>
    <w:rsid w:val="007A4B68"/>
    <w:rsid w:val="007A5063"/>
    <w:rsid w:val="007A6020"/>
    <w:rsid w:val="007A623F"/>
    <w:rsid w:val="007A7897"/>
    <w:rsid w:val="007B02FA"/>
    <w:rsid w:val="007B0CD2"/>
    <w:rsid w:val="007B1ED3"/>
    <w:rsid w:val="007B3F30"/>
    <w:rsid w:val="007B58BE"/>
    <w:rsid w:val="007B5CE9"/>
    <w:rsid w:val="007B727F"/>
    <w:rsid w:val="007B7661"/>
    <w:rsid w:val="007B7A0C"/>
    <w:rsid w:val="007B7C4C"/>
    <w:rsid w:val="007B7E99"/>
    <w:rsid w:val="007C0EEE"/>
    <w:rsid w:val="007C1815"/>
    <w:rsid w:val="007C2007"/>
    <w:rsid w:val="007C2693"/>
    <w:rsid w:val="007C2EA9"/>
    <w:rsid w:val="007C30A9"/>
    <w:rsid w:val="007C5E6E"/>
    <w:rsid w:val="007C5F89"/>
    <w:rsid w:val="007C6118"/>
    <w:rsid w:val="007D0BCC"/>
    <w:rsid w:val="007D1671"/>
    <w:rsid w:val="007D1B97"/>
    <w:rsid w:val="007D4201"/>
    <w:rsid w:val="007D45CD"/>
    <w:rsid w:val="007D4822"/>
    <w:rsid w:val="007D4AFD"/>
    <w:rsid w:val="007D4B42"/>
    <w:rsid w:val="007D5150"/>
    <w:rsid w:val="007D54B4"/>
    <w:rsid w:val="007D5F23"/>
    <w:rsid w:val="007D6817"/>
    <w:rsid w:val="007D6A55"/>
    <w:rsid w:val="007D7753"/>
    <w:rsid w:val="007E2594"/>
    <w:rsid w:val="007E29CE"/>
    <w:rsid w:val="007E2BD5"/>
    <w:rsid w:val="007E3021"/>
    <w:rsid w:val="007E36D5"/>
    <w:rsid w:val="007E45AC"/>
    <w:rsid w:val="007E4682"/>
    <w:rsid w:val="007E545D"/>
    <w:rsid w:val="007E6C97"/>
    <w:rsid w:val="007F0177"/>
    <w:rsid w:val="007F04AB"/>
    <w:rsid w:val="007F4EEC"/>
    <w:rsid w:val="007F667B"/>
    <w:rsid w:val="007F68AA"/>
    <w:rsid w:val="007F7180"/>
    <w:rsid w:val="007F7D98"/>
    <w:rsid w:val="007F7DE9"/>
    <w:rsid w:val="00800A9E"/>
    <w:rsid w:val="00801721"/>
    <w:rsid w:val="00801C56"/>
    <w:rsid w:val="00801D08"/>
    <w:rsid w:val="00804ED2"/>
    <w:rsid w:val="00804F21"/>
    <w:rsid w:val="00805236"/>
    <w:rsid w:val="008053B6"/>
    <w:rsid w:val="00805979"/>
    <w:rsid w:val="00805BA4"/>
    <w:rsid w:val="00805FA9"/>
    <w:rsid w:val="0080695C"/>
    <w:rsid w:val="008076D0"/>
    <w:rsid w:val="00807E8F"/>
    <w:rsid w:val="008107E3"/>
    <w:rsid w:val="00810EB8"/>
    <w:rsid w:val="00811BF0"/>
    <w:rsid w:val="00813593"/>
    <w:rsid w:val="00813A81"/>
    <w:rsid w:val="00813F36"/>
    <w:rsid w:val="0081428E"/>
    <w:rsid w:val="0081439F"/>
    <w:rsid w:val="00814936"/>
    <w:rsid w:val="00816925"/>
    <w:rsid w:val="008176EF"/>
    <w:rsid w:val="00817B22"/>
    <w:rsid w:val="00820D1D"/>
    <w:rsid w:val="00821383"/>
    <w:rsid w:val="00822CD6"/>
    <w:rsid w:val="00824E23"/>
    <w:rsid w:val="008253CA"/>
    <w:rsid w:val="0082663E"/>
    <w:rsid w:val="00826F2A"/>
    <w:rsid w:val="00832604"/>
    <w:rsid w:val="008327BE"/>
    <w:rsid w:val="00832C2E"/>
    <w:rsid w:val="00834071"/>
    <w:rsid w:val="0083465D"/>
    <w:rsid w:val="00834998"/>
    <w:rsid w:val="00835573"/>
    <w:rsid w:val="0083645C"/>
    <w:rsid w:val="0083654A"/>
    <w:rsid w:val="00836D21"/>
    <w:rsid w:val="008378E8"/>
    <w:rsid w:val="00837AAB"/>
    <w:rsid w:val="00837BCC"/>
    <w:rsid w:val="0084074F"/>
    <w:rsid w:val="00840965"/>
    <w:rsid w:val="00840CCF"/>
    <w:rsid w:val="00840FF8"/>
    <w:rsid w:val="0084145C"/>
    <w:rsid w:val="008416B8"/>
    <w:rsid w:val="00841785"/>
    <w:rsid w:val="00841B22"/>
    <w:rsid w:val="0084212F"/>
    <w:rsid w:val="00843AA5"/>
    <w:rsid w:val="00844706"/>
    <w:rsid w:val="008453E2"/>
    <w:rsid w:val="00845A2D"/>
    <w:rsid w:val="00845D41"/>
    <w:rsid w:val="008464E5"/>
    <w:rsid w:val="00846869"/>
    <w:rsid w:val="0084708E"/>
    <w:rsid w:val="0084752E"/>
    <w:rsid w:val="00847C21"/>
    <w:rsid w:val="0085179B"/>
    <w:rsid w:val="00853325"/>
    <w:rsid w:val="00853C2A"/>
    <w:rsid w:val="00854936"/>
    <w:rsid w:val="00855B1F"/>
    <w:rsid w:val="00855F15"/>
    <w:rsid w:val="00855F1D"/>
    <w:rsid w:val="008560CB"/>
    <w:rsid w:val="00856909"/>
    <w:rsid w:val="00856E85"/>
    <w:rsid w:val="0085735C"/>
    <w:rsid w:val="008574C9"/>
    <w:rsid w:val="008602DF"/>
    <w:rsid w:val="008605A2"/>
    <w:rsid w:val="0086113B"/>
    <w:rsid w:val="008615D8"/>
    <w:rsid w:val="0086211B"/>
    <w:rsid w:val="00862A2C"/>
    <w:rsid w:val="00862F94"/>
    <w:rsid w:val="00865339"/>
    <w:rsid w:val="00866385"/>
    <w:rsid w:val="0086688F"/>
    <w:rsid w:val="008675A4"/>
    <w:rsid w:val="00870121"/>
    <w:rsid w:val="008703C2"/>
    <w:rsid w:val="0087158E"/>
    <w:rsid w:val="00871693"/>
    <w:rsid w:val="00872077"/>
    <w:rsid w:val="008733D5"/>
    <w:rsid w:val="00873746"/>
    <w:rsid w:val="00873975"/>
    <w:rsid w:val="00874837"/>
    <w:rsid w:val="00874886"/>
    <w:rsid w:val="00875A26"/>
    <w:rsid w:val="00875AD5"/>
    <w:rsid w:val="0087627D"/>
    <w:rsid w:val="00877441"/>
    <w:rsid w:val="0087771F"/>
    <w:rsid w:val="00877740"/>
    <w:rsid w:val="0088032F"/>
    <w:rsid w:val="008803D8"/>
    <w:rsid w:val="00880474"/>
    <w:rsid w:val="00883265"/>
    <w:rsid w:val="008839EC"/>
    <w:rsid w:val="00884702"/>
    <w:rsid w:val="00885439"/>
    <w:rsid w:val="0088591B"/>
    <w:rsid w:val="00885B12"/>
    <w:rsid w:val="008862A5"/>
    <w:rsid w:val="008865AC"/>
    <w:rsid w:val="00886B84"/>
    <w:rsid w:val="00890DAF"/>
    <w:rsid w:val="00891559"/>
    <w:rsid w:val="008928A1"/>
    <w:rsid w:val="00892F1F"/>
    <w:rsid w:val="00893014"/>
    <w:rsid w:val="00893886"/>
    <w:rsid w:val="00894043"/>
    <w:rsid w:val="0089426E"/>
    <w:rsid w:val="00894DBA"/>
    <w:rsid w:val="008951E4"/>
    <w:rsid w:val="008957CC"/>
    <w:rsid w:val="00895AEC"/>
    <w:rsid w:val="00895B33"/>
    <w:rsid w:val="00896606"/>
    <w:rsid w:val="00896680"/>
    <w:rsid w:val="00896B80"/>
    <w:rsid w:val="008971BA"/>
    <w:rsid w:val="00897F6E"/>
    <w:rsid w:val="008A0821"/>
    <w:rsid w:val="008A1187"/>
    <w:rsid w:val="008A1A12"/>
    <w:rsid w:val="008A1BD2"/>
    <w:rsid w:val="008A3787"/>
    <w:rsid w:val="008A39A3"/>
    <w:rsid w:val="008A40E9"/>
    <w:rsid w:val="008A54F9"/>
    <w:rsid w:val="008A5867"/>
    <w:rsid w:val="008A5B42"/>
    <w:rsid w:val="008B0083"/>
    <w:rsid w:val="008B0107"/>
    <w:rsid w:val="008B0E93"/>
    <w:rsid w:val="008B2444"/>
    <w:rsid w:val="008B2931"/>
    <w:rsid w:val="008B2A42"/>
    <w:rsid w:val="008B6820"/>
    <w:rsid w:val="008B6B7D"/>
    <w:rsid w:val="008B6F58"/>
    <w:rsid w:val="008B7134"/>
    <w:rsid w:val="008B756D"/>
    <w:rsid w:val="008B7818"/>
    <w:rsid w:val="008B7AD1"/>
    <w:rsid w:val="008B7E39"/>
    <w:rsid w:val="008C051B"/>
    <w:rsid w:val="008C0F0B"/>
    <w:rsid w:val="008C1095"/>
    <w:rsid w:val="008C2065"/>
    <w:rsid w:val="008C2E20"/>
    <w:rsid w:val="008C35F8"/>
    <w:rsid w:val="008C3688"/>
    <w:rsid w:val="008C3E4A"/>
    <w:rsid w:val="008C4D27"/>
    <w:rsid w:val="008C5C67"/>
    <w:rsid w:val="008C620F"/>
    <w:rsid w:val="008C68F3"/>
    <w:rsid w:val="008C6B32"/>
    <w:rsid w:val="008C6D2F"/>
    <w:rsid w:val="008C6FDB"/>
    <w:rsid w:val="008C7DAB"/>
    <w:rsid w:val="008C7DD2"/>
    <w:rsid w:val="008D2BA6"/>
    <w:rsid w:val="008D2F96"/>
    <w:rsid w:val="008D32F8"/>
    <w:rsid w:val="008D37C5"/>
    <w:rsid w:val="008D48BA"/>
    <w:rsid w:val="008D4B12"/>
    <w:rsid w:val="008D572A"/>
    <w:rsid w:val="008D60BA"/>
    <w:rsid w:val="008D76EB"/>
    <w:rsid w:val="008D7BE9"/>
    <w:rsid w:val="008E0B95"/>
    <w:rsid w:val="008E0DFB"/>
    <w:rsid w:val="008E1009"/>
    <w:rsid w:val="008E163B"/>
    <w:rsid w:val="008E1650"/>
    <w:rsid w:val="008E1C70"/>
    <w:rsid w:val="008E361F"/>
    <w:rsid w:val="008E4182"/>
    <w:rsid w:val="008E489D"/>
    <w:rsid w:val="008E4DFC"/>
    <w:rsid w:val="008E51C9"/>
    <w:rsid w:val="008E604E"/>
    <w:rsid w:val="008E6120"/>
    <w:rsid w:val="008E7258"/>
    <w:rsid w:val="008E7F61"/>
    <w:rsid w:val="008F06C8"/>
    <w:rsid w:val="008F0913"/>
    <w:rsid w:val="008F115C"/>
    <w:rsid w:val="008F1B0F"/>
    <w:rsid w:val="008F2B35"/>
    <w:rsid w:val="008F39D4"/>
    <w:rsid w:val="008F5517"/>
    <w:rsid w:val="008F5B02"/>
    <w:rsid w:val="008F5EFA"/>
    <w:rsid w:val="008F6270"/>
    <w:rsid w:val="00900969"/>
    <w:rsid w:val="00901FA1"/>
    <w:rsid w:val="0090302C"/>
    <w:rsid w:val="00903C02"/>
    <w:rsid w:val="00903E9B"/>
    <w:rsid w:val="009041A4"/>
    <w:rsid w:val="00904287"/>
    <w:rsid w:val="009053AA"/>
    <w:rsid w:val="009054E2"/>
    <w:rsid w:val="00905B6C"/>
    <w:rsid w:val="00906137"/>
    <w:rsid w:val="00907282"/>
    <w:rsid w:val="009079D3"/>
    <w:rsid w:val="009108AB"/>
    <w:rsid w:val="009114A8"/>
    <w:rsid w:val="00911E73"/>
    <w:rsid w:val="00912338"/>
    <w:rsid w:val="00912410"/>
    <w:rsid w:val="00913497"/>
    <w:rsid w:val="009135BE"/>
    <w:rsid w:val="00915544"/>
    <w:rsid w:val="00915EDE"/>
    <w:rsid w:val="00916656"/>
    <w:rsid w:val="00916F6E"/>
    <w:rsid w:val="00917C11"/>
    <w:rsid w:val="00920BF2"/>
    <w:rsid w:val="00921C35"/>
    <w:rsid w:val="00922527"/>
    <w:rsid w:val="00922D74"/>
    <w:rsid w:val="00923461"/>
    <w:rsid w:val="00925CB4"/>
    <w:rsid w:val="00927018"/>
    <w:rsid w:val="00927C2A"/>
    <w:rsid w:val="00930261"/>
    <w:rsid w:val="00930365"/>
    <w:rsid w:val="00930D49"/>
    <w:rsid w:val="0093158B"/>
    <w:rsid w:val="00931837"/>
    <w:rsid w:val="009322F1"/>
    <w:rsid w:val="009325A8"/>
    <w:rsid w:val="00932814"/>
    <w:rsid w:val="00932DD2"/>
    <w:rsid w:val="00933508"/>
    <w:rsid w:val="00933AA1"/>
    <w:rsid w:val="009361B3"/>
    <w:rsid w:val="00936FA0"/>
    <w:rsid w:val="00937C45"/>
    <w:rsid w:val="00937DF3"/>
    <w:rsid w:val="00940E9E"/>
    <w:rsid w:val="009424A8"/>
    <w:rsid w:val="00942F4C"/>
    <w:rsid w:val="009435FF"/>
    <w:rsid w:val="00943721"/>
    <w:rsid w:val="00943752"/>
    <w:rsid w:val="009437E0"/>
    <w:rsid w:val="00943CC6"/>
    <w:rsid w:val="00943EF9"/>
    <w:rsid w:val="0094407A"/>
    <w:rsid w:val="009447B4"/>
    <w:rsid w:val="009450BF"/>
    <w:rsid w:val="00945123"/>
    <w:rsid w:val="00945325"/>
    <w:rsid w:val="0094679D"/>
    <w:rsid w:val="00946C22"/>
    <w:rsid w:val="00946C4C"/>
    <w:rsid w:val="00946CF9"/>
    <w:rsid w:val="00947330"/>
    <w:rsid w:val="00947A08"/>
    <w:rsid w:val="00947FC2"/>
    <w:rsid w:val="00951357"/>
    <w:rsid w:val="00951C1C"/>
    <w:rsid w:val="00951F57"/>
    <w:rsid w:val="0095245D"/>
    <w:rsid w:val="00952C38"/>
    <w:rsid w:val="00952FF2"/>
    <w:rsid w:val="00955586"/>
    <w:rsid w:val="00955685"/>
    <w:rsid w:val="00955935"/>
    <w:rsid w:val="00955AB6"/>
    <w:rsid w:val="00955FD0"/>
    <w:rsid w:val="0095605C"/>
    <w:rsid w:val="009562AE"/>
    <w:rsid w:val="00956D22"/>
    <w:rsid w:val="00957361"/>
    <w:rsid w:val="00962436"/>
    <w:rsid w:val="009624C3"/>
    <w:rsid w:val="009637DA"/>
    <w:rsid w:val="009643A1"/>
    <w:rsid w:val="00965938"/>
    <w:rsid w:val="009669B3"/>
    <w:rsid w:val="00967DC6"/>
    <w:rsid w:val="00967E00"/>
    <w:rsid w:val="00970640"/>
    <w:rsid w:val="00970959"/>
    <w:rsid w:val="00971304"/>
    <w:rsid w:val="009718E7"/>
    <w:rsid w:val="00971C20"/>
    <w:rsid w:val="00972E1F"/>
    <w:rsid w:val="00973E36"/>
    <w:rsid w:val="00973E60"/>
    <w:rsid w:val="00975205"/>
    <w:rsid w:val="0097690A"/>
    <w:rsid w:val="00980F5F"/>
    <w:rsid w:val="00981299"/>
    <w:rsid w:val="00981715"/>
    <w:rsid w:val="009827FA"/>
    <w:rsid w:val="00982DAF"/>
    <w:rsid w:val="00982E37"/>
    <w:rsid w:val="00982EFC"/>
    <w:rsid w:val="009831AF"/>
    <w:rsid w:val="009832A6"/>
    <w:rsid w:val="009839CE"/>
    <w:rsid w:val="00983CDE"/>
    <w:rsid w:val="00983D91"/>
    <w:rsid w:val="0098404C"/>
    <w:rsid w:val="0098418A"/>
    <w:rsid w:val="00985672"/>
    <w:rsid w:val="00985D58"/>
    <w:rsid w:val="00986605"/>
    <w:rsid w:val="0098676C"/>
    <w:rsid w:val="0098774E"/>
    <w:rsid w:val="00987783"/>
    <w:rsid w:val="0099030E"/>
    <w:rsid w:val="00990F90"/>
    <w:rsid w:val="009912EC"/>
    <w:rsid w:val="00991B5D"/>
    <w:rsid w:val="0099343A"/>
    <w:rsid w:val="009946C8"/>
    <w:rsid w:val="00995392"/>
    <w:rsid w:val="00995494"/>
    <w:rsid w:val="00995BA5"/>
    <w:rsid w:val="00995F00"/>
    <w:rsid w:val="009961F8"/>
    <w:rsid w:val="009966DC"/>
    <w:rsid w:val="0099687F"/>
    <w:rsid w:val="00996A7B"/>
    <w:rsid w:val="00996A8E"/>
    <w:rsid w:val="00996D73"/>
    <w:rsid w:val="0099742A"/>
    <w:rsid w:val="009A11E7"/>
    <w:rsid w:val="009A1AC8"/>
    <w:rsid w:val="009A2112"/>
    <w:rsid w:val="009A2AC3"/>
    <w:rsid w:val="009A2C12"/>
    <w:rsid w:val="009A2E9E"/>
    <w:rsid w:val="009A2EF9"/>
    <w:rsid w:val="009A32CA"/>
    <w:rsid w:val="009A3765"/>
    <w:rsid w:val="009A3D3F"/>
    <w:rsid w:val="009A565F"/>
    <w:rsid w:val="009A66D5"/>
    <w:rsid w:val="009B0F4C"/>
    <w:rsid w:val="009B2143"/>
    <w:rsid w:val="009B2607"/>
    <w:rsid w:val="009B2697"/>
    <w:rsid w:val="009B29C0"/>
    <w:rsid w:val="009B34C6"/>
    <w:rsid w:val="009B40FA"/>
    <w:rsid w:val="009B448B"/>
    <w:rsid w:val="009B5A1B"/>
    <w:rsid w:val="009B5E41"/>
    <w:rsid w:val="009B6888"/>
    <w:rsid w:val="009B6D10"/>
    <w:rsid w:val="009B6E76"/>
    <w:rsid w:val="009B7A0E"/>
    <w:rsid w:val="009B7E2F"/>
    <w:rsid w:val="009C019A"/>
    <w:rsid w:val="009C111D"/>
    <w:rsid w:val="009C1E8E"/>
    <w:rsid w:val="009C2003"/>
    <w:rsid w:val="009C2605"/>
    <w:rsid w:val="009C34EE"/>
    <w:rsid w:val="009C3D55"/>
    <w:rsid w:val="009C49CB"/>
    <w:rsid w:val="009C5085"/>
    <w:rsid w:val="009C71B9"/>
    <w:rsid w:val="009D0E41"/>
    <w:rsid w:val="009D1184"/>
    <w:rsid w:val="009D12B6"/>
    <w:rsid w:val="009D1BB6"/>
    <w:rsid w:val="009D20DD"/>
    <w:rsid w:val="009D2AD7"/>
    <w:rsid w:val="009D2E40"/>
    <w:rsid w:val="009D3036"/>
    <w:rsid w:val="009D35A7"/>
    <w:rsid w:val="009D3B6C"/>
    <w:rsid w:val="009D3F99"/>
    <w:rsid w:val="009D3FDE"/>
    <w:rsid w:val="009D410A"/>
    <w:rsid w:val="009D45EC"/>
    <w:rsid w:val="009D54FA"/>
    <w:rsid w:val="009D65D0"/>
    <w:rsid w:val="009D6C2E"/>
    <w:rsid w:val="009D6E5B"/>
    <w:rsid w:val="009D7E9E"/>
    <w:rsid w:val="009E1EF6"/>
    <w:rsid w:val="009E24BC"/>
    <w:rsid w:val="009E2507"/>
    <w:rsid w:val="009E2683"/>
    <w:rsid w:val="009E4CEE"/>
    <w:rsid w:val="009E5CBC"/>
    <w:rsid w:val="009E5F15"/>
    <w:rsid w:val="009E67C7"/>
    <w:rsid w:val="009E712E"/>
    <w:rsid w:val="009E74F0"/>
    <w:rsid w:val="009E773E"/>
    <w:rsid w:val="009F05C8"/>
    <w:rsid w:val="009F0760"/>
    <w:rsid w:val="009F0EF4"/>
    <w:rsid w:val="009F156C"/>
    <w:rsid w:val="009F1F78"/>
    <w:rsid w:val="009F204C"/>
    <w:rsid w:val="009F24AD"/>
    <w:rsid w:val="009F3F06"/>
    <w:rsid w:val="009F431E"/>
    <w:rsid w:val="009F45AC"/>
    <w:rsid w:val="009F51D0"/>
    <w:rsid w:val="009F74E6"/>
    <w:rsid w:val="00A0045B"/>
    <w:rsid w:val="00A005D0"/>
    <w:rsid w:val="00A00744"/>
    <w:rsid w:val="00A00AC4"/>
    <w:rsid w:val="00A017AC"/>
    <w:rsid w:val="00A019BE"/>
    <w:rsid w:val="00A01D6F"/>
    <w:rsid w:val="00A03796"/>
    <w:rsid w:val="00A04D2C"/>
    <w:rsid w:val="00A053F9"/>
    <w:rsid w:val="00A05664"/>
    <w:rsid w:val="00A078D0"/>
    <w:rsid w:val="00A10395"/>
    <w:rsid w:val="00A10BE1"/>
    <w:rsid w:val="00A10E63"/>
    <w:rsid w:val="00A10FF1"/>
    <w:rsid w:val="00A113BF"/>
    <w:rsid w:val="00A1150D"/>
    <w:rsid w:val="00A12115"/>
    <w:rsid w:val="00A124DE"/>
    <w:rsid w:val="00A12614"/>
    <w:rsid w:val="00A126E1"/>
    <w:rsid w:val="00A12735"/>
    <w:rsid w:val="00A127E0"/>
    <w:rsid w:val="00A12AAA"/>
    <w:rsid w:val="00A12D05"/>
    <w:rsid w:val="00A137D5"/>
    <w:rsid w:val="00A13E9C"/>
    <w:rsid w:val="00A14047"/>
    <w:rsid w:val="00A1425A"/>
    <w:rsid w:val="00A154F7"/>
    <w:rsid w:val="00A1682A"/>
    <w:rsid w:val="00A16F64"/>
    <w:rsid w:val="00A17346"/>
    <w:rsid w:val="00A178F3"/>
    <w:rsid w:val="00A22FC1"/>
    <w:rsid w:val="00A23DDC"/>
    <w:rsid w:val="00A24534"/>
    <w:rsid w:val="00A264D2"/>
    <w:rsid w:val="00A26F92"/>
    <w:rsid w:val="00A27779"/>
    <w:rsid w:val="00A304BD"/>
    <w:rsid w:val="00A3148B"/>
    <w:rsid w:val="00A3253F"/>
    <w:rsid w:val="00A32889"/>
    <w:rsid w:val="00A33D95"/>
    <w:rsid w:val="00A3451F"/>
    <w:rsid w:val="00A346E9"/>
    <w:rsid w:val="00A360EB"/>
    <w:rsid w:val="00A3709E"/>
    <w:rsid w:val="00A37236"/>
    <w:rsid w:val="00A3748D"/>
    <w:rsid w:val="00A40541"/>
    <w:rsid w:val="00A40BA2"/>
    <w:rsid w:val="00A421EE"/>
    <w:rsid w:val="00A43847"/>
    <w:rsid w:val="00A44476"/>
    <w:rsid w:val="00A44668"/>
    <w:rsid w:val="00A446F7"/>
    <w:rsid w:val="00A44DC0"/>
    <w:rsid w:val="00A455C2"/>
    <w:rsid w:val="00A459FA"/>
    <w:rsid w:val="00A45C53"/>
    <w:rsid w:val="00A462C6"/>
    <w:rsid w:val="00A47163"/>
    <w:rsid w:val="00A474E8"/>
    <w:rsid w:val="00A47B65"/>
    <w:rsid w:val="00A47CC9"/>
    <w:rsid w:val="00A5056F"/>
    <w:rsid w:val="00A50D6F"/>
    <w:rsid w:val="00A50F4A"/>
    <w:rsid w:val="00A51418"/>
    <w:rsid w:val="00A51552"/>
    <w:rsid w:val="00A51582"/>
    <w:rsid w:val="00A517D1"/>
    <w:rsid w:val="00A51E16"/>
    <w:rsid w:val="00A52B64"/>
    <w:rsid w:val="00A5379A"/>
    <w:rsid w:val="00A537A4"/>
    <w:rsid w:val="00A53B1C"/>
    <w:rsid w:val="00A53CB6"/>
    <w:rsid w:val="00A54D21"/>
    <w:rsid w:val="00A5514A"/>
    <w:rsid w:val="00A553AB"/>
    <w:rsid w:val="00A5592F"/>
    <w:rsid w:val="00A55A92"/>
    <w:rsid w:val="00A564DA"/>
    <w:rsid w:val="00A56772"/>
    <w:rsid w:val="00A56C26"/>
    <w:rsid w:val="00A56C50"/>
    <w:rsid w:val="00A5765D"/>
    <w:rsid w:val="00A61288"/>
    <w:rsid w:val="00A615CE"/>
    <w:rsid w:val="00A6195E"/>
    <w:rsid w:val="00A61CD3"/>
    <w:rsid w:val="00A624F1"/>
    <w:rsid w:val="00A62D0A"/>
    <w:rsid w:val="00A63B13"/>
    <w:rsid w:val="00A64057"/>
    <w:rsid w:val="00A64241"/>
    <w:rsid w:val="00A65385"/>
    <w:rsid w:val="00A6538A"/>
    <w:rsid w:val="00A67538"/>
    <w:rsid w:val="00A676C3"/>
    <w:rsid w:val="00A6788F"/>
    <w:rsid w:val="00A71BA3"/>
    <w:rsid w:val="00A71BA6"/>
    <w:rsid w:val="00A722AA"/>
    <w:rsid w:val="00A72397"/>
    <w:rsid w:val="00A72B41"/>
    <w:rsid w:val="00A72DA4"/>
    <w:rsid w:val="00A732F1"/>
    <w:rsid w:val="00A73830"/>
    <w:rsid w:val="00A7388E"/>
    <w:rsid w:val="00A742BD"/>
    <w:rsid w:val="00A75029"/>
    <w:rsid w:val="00A7537C"/>
    <w:rsid w:val="00A75520"/>
    <w:rsid w:val="00A7618F"/>
    <w:rsid w:val="00A76697"/>
    <w:rsid w:val="00A76A44"/>
    <w:rsid w:val="00A76EEC"/>
    <w:rsid w:val="00A80392"/>
    <w:rsid w:val="00A8186E"/>
    <w:rsid w:val="00A8261E"/>
    <w:rsid w:val="00A8375A"/>
    <w:rsid w:val="00A8387A"/>
    <w:rsid w:val="00A83D0E"/>
    <w:rsid w:val="00A86520"/>
    <w:rsid w:val="00A86793"/>
    <w:rsid w:val="00A87362"/>
    <w:rsid w:val="00A875F7"/>
    <w:rsid w:val="00A8791A"/>
    <w:rsid w:val="00A87BF1"/>
    <w:rsid w:val="00A90BE1"/>
    <w:rsid w:val="00A90F49"/>
    <w:rsid w:val="00A90F5F"/>
    <w:rsid w:val="00A91B43"/>
    <w:rsid w:val="00A91D47"/>
    <w:rsid w:val="00A92A4D"/>
    <w:rsid w:val="00A935AC"/>
    <w:rsid w:val="00A93857"/>
    <w:rsid w:val="00A94C33"/>
    <w:rsid w:val="00A963DA"/>
    <w:rsid w:val="00A96A91"/>
    <w:rsid w:val="00A96DE7"/>
    <w:rsid w:val="00A97A91"/>
    <w:rsid w:val="00AA0148"/>
    <w:rsid w:val="00AA3EC6"/>
    <w:rsid w:val="00AA4739"/>
    <w:rsid w:val="00AA5033"/>
    <w:rsid w:val="00AA6C88"/>
    <w:rsid w:val="00AA6C9A"/>
    <w:rsid w:val="00AA7443"/>
    <w:rsid w:val="00AA7844"/>
    <w:rsid w:val="00AA78A0"/>
    <w:rsid w:val="00AB0763"/>
    <w:rsid w:val="00AB135B"/>
    <w:rsid w:val="00AB15A2"/>
    <w:rsid w:val="00AB1AAB"/>
    <w:rsid w:val="00AB1FB4"/>
    <w:rsid w:val="00AB44F1"/>
    <w:rsid w:val="00AB49F1"/>
    <w:rsid w:val="00AB4A5B"/>
    <w:rsid w:val="00AB5AD9"/>
    <w:rsid w:val="00AB5EEE"/>
    <w:rsid w:val="00AB6E92"/>
    <w:rsid w:val="00AB736C"/>
    <w:rsid w:val="00AB7E95"/>
    <w:rsid w:val="00AC0358"/>
    <w:rsid w:val="00AC1536"/>
    <w:rsid w:val="00AC159E"/>
    <w:rsid w:val="00AC1C0C"/>
    <w:rsid w:val="00AC26C1"/>
    <w:rsid w:val="00AC3016"/>
    <w:rsid w:val="00AC32DE"/>
    <w:rsid w:val="00AC4309"/>
    <w:rsid w:val="00AC473B"/>
    <w:rsid w:val="00AC5D75"/>
    <w:rsid w:val="00AC6963"/>
    <w:rsid w:val="00AC7022"/>
    <w:rsid w:val="00AC7586"/>
    <w:rsid w:val="00AC7F0C"/>
    <w:rsid w:val="00AD04E7"/>
    <w:rsid w:val="00AD0A84"/>
    <w:rsid w:val="00AD16B1"/>
    <w:rsid w:val="00AD1816"/>
    <w:rsid w:val="00AD2478"/>
    <w:rsid w:val="00AD2DC4"/>
    <w:rsid w:val="00AD3876"/>
    <w:rsid w:val="00AD5CCB"/>
    <w:rsid w:val="00AD614E"/>
    <w:rsid w:val="00AD6175"/>
    <w:rsid w:val="00AD7BE6"/>
    <w:rsid w:val="00AD7C40"/>
    <w:rsid w:val="00AE03AB"/>
    <w:rsid w:val="00AE082C"/>
    <w:rsid w:val="00AE0866"/>
    <w:rsid w:val="00AE0F19"/>
    <w:rsid w:val="00AE14F6"/>
    <w:rsid w:val="00AE1842"/>
    <w:rsid w:val="00AE2251"/>
    <w:rsid w:val="00AE2742"/>
    <w:rsid w:val="00AE467F"/>
    <w:rsid w:val="00AE48E9"/>
    <w:rsid w:val="00AE56AD"/>
    <w:rsid w:val="00AE6AC1"/>
    <w:rsid w:val="00AE7DA8"/>
    <w:rsid w:val="00AE7DC7"/>
    <w:rsid w:val="00AE7F63"/>
    <w:rsid w:val="00AF2E0A"/>
    <w:rsid w:val="00AF2FBA"/>
    <w:rsid w:val="00AF2FC5"/>
    <w:rsid w:val="00AF415F"/>
    <w:rsid w:val="00AF603C"/>
    <w:rsid w:val="00AF658B"/>
    <w:rsid w:val="00AF6B99"/>
    <w:rsid w:val="00AF76FA"/>
    <w:rsid w:val="00B00354"/>
    <w:rsid w:val="00B01514"/>
    <w:rsid w:val="00B016A7"/>
    <w:rsid w:val="00B02D97"/>
    <w:rsid w:val="00B03385"/>
    <w:rsid w:val="00B04251"/>
    <w:rsid w:val="00B04BA6"/>
    <w:rsid w:val="00B065F3"/>
    <w:rsid w:val="00B073A3"/>
    <w:rsid w:val="00B07629"/>
    <w:rsid w:val="00B077C8"/>
    <w:rsid w:val="00B101B9"/>
    <w:rsid w:val="00B10322"/>
    <w:rsid w:val="00B106DA"/>
    <w:rsid w:val="00B12776"/>
    <w:rsid w:val="00B1390F"/>
    <w:rsid w:val="00B153D9"/>
    <w:rsid w:val="00B15705"/>
    <w:rsid w:val="00B15A5B"/>
    <w:rsid w:val="00B17C6B"/>
    <w:rsid w:val="00B2164F"/>
    <w:rsid w:val="00B21931"/>
    <w:rsid w:val="00B21FB1"/>
    <w:rsid w:val="00B24761"/>
    <w:rsid w:val="00B25B76"/>
    <w:rsid w:val="00B26620"/>
    <w:rsid w:val="00B2711F"/>
    <w:rsid w:val="00B27B5A"/>
    <w:rsid w:val="00B30316"/>
    <w:rsid w:val="00B30B10"/>
    <w:rsid w:val="00B31497"/>
    <w:rsid w:val="00B325C0"/>
    <w:rsid w:val="00B334F9"/>
    <w:rsid w:val="00B3360E"/>
    <w:rsid w:val="00B33B11"/>
    <w:rsid w:val="00B34051"/>
    <w:rsid w:val="00B34AEC"/>
    <w:rsid w:val="00B35433"/>
    <w:rsid w:val="00B35E8F"/>
    <w:rsid w:val="00B35F02"/>
    <w:rsid w:val="00B365AE"/>
    <w:rsid w:val="00B375F8"/>
    <w:rsid w:val="00B401BA"/>
    <w:rsid w:val="00B40DFF"/>
    <w:rsid w:val="00B41145"/>
    <w:rsid w:val="00B41E11"/>
    <w:rsid w:val="00B420F5"/>
    <w:rsid w:val="00B43AED"/>
    <w:rsid w:val="00B43D50"/>
    <w:rsid w:val="00B43DE4"/>
    <w:rsid w:val="00B43F14"/>
    <w:rsid w:val="00B44462"/>
    <w:rsid w:val="00B44B08"/>
    <w:rsid w:val="00B44C23"/>
    <w:rsid w:val="00B45B4A"/>
    <w:rsid w:val="00B45F7D"/>
    <w:rsid w:val="00B469C5"/>
    <w:rsid w:val="00B50443"/>
    <w:rsid w:val="00B50D05"/>
    <w:rsid w:val="00B50D0D"/>
    <w:rsid w:val="00B50D1B"/>
    <w:rsid w:val="00B5112E"/>
    <w:rsid w:val="00B51366"/>
    <w:rsid w:val="00B52B93"/>
    <w:rsid w:val="00B5351E"/>
    <w:rsid w:val="00B535D0"/>
    <w:rsid w:val="00B53EAF"/>
    <w:rsid w:val="00B540F1"/>
    <w:rsid w:val="00B54696"/>
    <w:rsid w:val="00B54D91"/>
    <w:rsid w:val="00B5593A"/>
    <w:rsid w:val="00B560E9"/>
    <w:rsid w:val="00B56B5E"/>
    <w:rsid w:val="00B570C2"/>
    <w:rsid w:val="00B60119"/>
    <w:rsid w:val="00B609CC"/>
    <w:rsid w:val="00B60E9C"/>
    <w:rsid w:val="00B61A86"/>
    <w:rsid w:val="00B63457"/>
    <w:rsid w:val="00B64101"/>
    <w:rsid w:val="00B642F8"/>
    <w:rsid w:val="00B6447E"/>
    <w:rsid w:val="00B6475E"/>
    <w:rsid w:val="00B64C4B"/>
    <w:rsid w:val="00B66FE8"/>
    <w:rsid w:val="00B671DA"/>
    <w:rsid w:val="00B70609"/>
    <w:rsid w:val="00B70952"/>
    <w:rsid w:val="00B7210D"/>
    <w:rsid w:val="00B72ABF"/>
    <w:rsid w:val="00B73552"/>
    <w:rsid w:val="00B7381E"/>
    <w:rsid w:val="00B73E5C"/>
    <w:rsid w:val="00B73F8F"/>
    <w:rsid w:val="00B747A0"/>
    <w:rsid w:val="00B76462"/>
    <w:rsid w:val="00B770FB"/>
    <w:rsid w:val="00B809B3"/>
    <w:rsid w:val="00B81182"/>
    <w:rsid w:val="00B821BD"/>
    <w:rsid w:val="00B822FE"/>
    <w:rsid w:val="00B84611"/>
    <w:rsid w:val="00B85310"/>
    <w:rsid w:val="00B859E9"/>
    <w:rsid w:val="00B85BFE"/>
    <w:rsid w:val="00B872D7"/>
    <w:rsid w:val="00B900AA"/>
    <w:rsid w:val="00B902C9"/>
    <w:rsid w:val="00B92187"/>
    <w:rsid w:val="00B921A6"/>
    <w:rsid w:val="00B924FC"/>
    <w:rsid w:val="00B92A9D"/>
    <w:rsid w:val="00B93098"/>
    <w:rsid w:val="00B945DC"/>
    <w:rsid w:val="00B961F6"/>
    <w:rsid w:val="00B96491"/>
    <w:rsid w:val="00B965C3"/>
    <w:rsid w:val="00B9785A"/>
    <w:rsid w:val="00BA0A04"/>
    <w:rsid w:val="00BA0A25"/>
    <w:rsid w:val="00BA1766"/>
    <w:rsid w:val="00BA187D"/>
    <w:rsid w:val="00BA18DC"/>
    <w:rsid w:val="00BA20DC"/>
    <w:rsid w:val="00BA22FC"/>
    <w:rsid w:val="00BA290C"/>
    <w:rsid w:val="00BA34D7"/>
    <w:rsid w:val="00BA4054"/>
    <w:rsid w:val="00BA626A"/>
    <w:rsid w:val="00BA6499"/>
    <w:rsid w:val="00BA6CD3"/>
    <w:rsid w:val="00BA718C"/>
    <w:rsid w:val="00BA741B"/>
    <w:rsid w:val="00BA75F0"/>
    <w:rsid w:val="00BA79EE"/>
    <w:rsid w:val="00BA7D77"/>
    <w:rsid w:val="00BB013F"/>
    <w:rsid w:val="00BB0187"/>
    <w:rsid w:val="00BB035B"/>
    <w:rsid w:val="00BB0B5C"/>
    <w:rsid w:val="00BB0E5C"/>
    <w:rsid w:val="00BB120A"/>
    <w:rsid w:val="00BB1302"/>
    <w:rsid w:val="00BB4161"/>
    <w:rsid w:val="00BB57C9"/>
    <w:rsid w:val="00BB662F"/>
    <w:rsid w:val="00BC0171"/>
    <w:rsid w:val="00BC0301"/>
    <w:rsid w:val="00BC05B4"/>
    <w:rsid w:val="00BC1F74"/>
    <w:rsid w:val="00BC2889"/>
    <w:rsid w:val="00BC2D34"/>
    <w:rsid w:val="00BC3179"/>
    <w:rsid w:val="00BC3368"/>
    <w:rsid w:val="00BC5093"/>
    <w:rsid w:val="00BC6981"/>
    <w:rsid w:val="00BC7F48"/>
    <w:rsid w:val="00BD08A9"/>
    <w:rsid w:val="00BD0CE0"/>
    <w:rsid w:val="00BD3DA4"/>
    <w:rsid w:val="00BD444A"/>
    <w:rsid w:val="00BD4BBF"/>
    <w:rsid w:val="00BD4CF3"/>
    <w:rsid w:val="00BD6C2E"/>
    <w:rsid w:val="00BD7B18"/>
    <w:rsid w:val="00BE011D"/>
    <w:rsid w:val="00BE0333"/>
    <w:rsid w:val="00BE06E3"/>
    <w:rsid w:val="00BE0D0F"/>
    <w:rsid w:val="00BE12D4"/>
    <w:rsid w:val="00BE1982"/>
    <w:rsid w:val="00BE1A7A"/>
    <w:rsid w:val="00BE244E"/>
    <w:rsid w:val="00BE2959"/>
    <w:rsid w:val="00BE3743"/>
    <w:rsid w:val="00BE3C02"/>
    <w:rsid w:val="00BE47D2"/>
    <w:rsid w:val="00BE5A89"/>
    <w:rsid w:val="00BE6A90"/>
    <w:rsid w:val="00BF0C9F"/>
    <w:rsid w:val="00BF10CF"/>
    <w:rsid w:val="00BF137D"/>
    <w:rsid w:val="00BF14D5"/>
    <w:rsid w:val="00BF1993"/>
    <w:rsid w:val="00BF1EB7"/>
    <w:rsid w:val="00BF1F97"/>
    <w:rsid w:val="00BF276A"/>
    <w:rsid w:val="00BF28B5"/>
    <w:rsid w:val="00BF3E15"/>
    <w:rsid w:val="00BF51EC"/>
    <w:rsid w:val="00BF5547"/>
    <w:rsid w:val="00BF6021"/>
    <w:rsid w:val="00BF661D"/>
    <w:rsid w:val="00BF66D4"/>
    <w:rsid w:val="00BF67F5"/>
    <w:rsid w:val="00BF707B"/>
    <w:rsid w:val="00BF76B1"/>
    <w:rsid w:val="00C00550"/>
    <w:rsid w:val="00C011E2"/>
    <w:rsid w:val="00C023FE"/>
    <w:rsid w:val="00C03592"/>
    <w:rsid w:val="00C03F9F"/>
    <w:rsid w:val="00C041D9"/>
    <w:rsid w:val="00C045A0"/>
    <w:rsid w:val="00C053CD"/>
    <w:rsid w:val="00C0631F"/>
    <w:rsid w:val="00C0680A"/>
    <w:rsid w:val="00C06908"/>
    <w:rsid w:val="00C0698D"/>
    <w:rsid w:val="00C06B10"/>
    <w:rsid w:val="00C06F7A"/>
    <w:rsid w:val="00C076B8"/>
    <w:rsid w:val="00C10CEB"/>
    <w:rsid w:val="00C116DD"/>
    <w:rsid w:val="00C1225D"/>
    <w:rsid w:val="00C122D2"/>
    <w:rsid w:val="00C127FF"/>
    <w:rsid w:val="00C12936"/>
    <w:rsid w:val="00C1302A"/>
    <w:rsid w:val="00C13CEB"/>
    <w:rsid w:val="00C14690"/>
    <w:rsid w:val="00C15282"/>
    <w:rsid w:val="00C161B2"/>
    <w:rsid w:val="00C17058"/>
    <w:rsid w:val="00C17644"/>
    <w:rsid w:val="00C20D4E"/>
    <w:rsid w:val="00C212B3"/>
    <w:rsid w:val="00C21C1B"/>
    <w:rsid w:val="00C22057"/>
    <w:rsid w:val="00C2211A"/>
    <w:rsid w:val="00C22265"/>
    <w:rsid w:val="00C225AA"/>
    <w:rsid w:val="00C225E7"/>
    <w:rsid w:val="00C22F0A"/>
    <w:rsid w:val="00C24341"/>
    <w:rsid w:val="00C24368"/>
    <w:rsid w:val="00C245AC"/>
    <w:rsid w:val="00C2558F"/>
    <w:rsid w:val="00C265E3"/>
    <w:rsid w:val="00C2677B"/>
    <w:rsid w:val="00C26C01"/>
    <w:rsid w:val="00C30C64"/>
    <w:rsid w:val="00C31571"/>
    <w:rsid w:val="00C31CF2"/>
    <w:rsid w:val="00C31FD4"/>
    <w:rsid w:val="00C32271"/>
    <w:rsid w:val="00C3300A"/>
    <w:rsid w:val="00C33D37"/>
    <w:rsid w:val="00C35303"/>
    <w:rsid w:val="00C3597B"/>
    <w:rsid w:val="00C36254"/>
    <w:rsid w:val="00C364A6"/>
    <w:rsid w:val="00C368C0"/>
    <w:rsid w:val="00C3718C"/>
    <w:rsid w:val="00C40CD2"/>
    <w:rsid w:val="00C419C9"/>
    <w:rsid w:val="00C4226F"/>
    <w:rsid w:val="00C4262F"/>
    <w:rsid w:val="00C42B7D"/>
    <w:rsid w:val="00C43436"/>
    <w:rsid w:val="00C44590"/>
    <w:rsid w:val="00C44B17"/>
    <w:rsid w:val="00C45611"/>
    <w:rsid w:val="00C457D2"/>
    <w:rsid w:val="00C45B54"/>
    <w:rsid w:val="00C468B8"/>
    <w:rsid w:val="00C47191"/>
    <w:rsid w:val="00C47B34"/>
    <w:rsid w:val="00C504F2"/>
    <w:rsid w:val="00C50830"/>
    <w:rsid w:val="00C519B7"/>
    <w:rsid w:val="00C519EB"/>
    <w:rsid w:val="00C528DD"/>
    <w:rsid w:val="00C52EF7"/>
    <w:rsid w:val="00C544C1"/>
    <w:rsid w:val="00C5505B"/>
    <w:rsid w:val="00C56187"/>
    <w:rsid w:val="00C575A4"/>
    <w:rsid w:val="00C5775B"/>
    <w:rsid w:val="00C57F79"/>
    <w:rsid w:val="00C60984"/>
    <w:rsid w:val="00C61303"/>
    <w:rsid w:val="00C61CD9"/>
    <w:rsid w:val="00C62459"/>
    <w:rsid w:val="00C64B62"/>
    <w:rsid w:val="00C65713"/>
    <w:rsid w:val="00C6598A"/>
    <w:rsid w:val="00C659B3"/>
    <w:rsid w:val="00C6625A"/>
    <w:rsid w:val="00C67587"/>
    <w:rsid w:val="00C678F7"/>
    <w:rsid w:val="00C67D8F"/>
    <w:rsid w:val="00C703FC"/>
    <w:rsid w:val="00C70A93"/>
    <w:rsid w:val="00C70D11"/>
    <w:rsid w:val="00C71E41"/>
    <w:rsid w:val="00C72015"/>
    <w:rsid w:val="00C720C7"/>
    <w:rsid w:val="00C73466"/>
    <w:rsid w:val="00C73AF1"/>
    <w:rsid w:val="00C73B2E"/>
    <w:rsid w:val="00C7423D"/>
    <w:rsid w:val="00C76034"/>
    <w:rsid w:val="00C7650A"/>
    <w:rsid w:val="00C76538"/>
    <w:rsid w:val="00C76BAC"/>
    <w:rsid w:val="00C77715"/>
    <w:rsid w:val="00C8012B"/>
    <w:rsid w:val="00C80478"/>
    <w:rsid w:val="00C80E7F"/>
    <w:rsid w:val="00C8106A"/>
    <w:rsid w:val="00C813A8"/>
    <w:rsid w:val="00C818BD"/>
    <w:rsid w:val="00C82731"/>
    <w:rsid w:val="00C83297"/>
    <w:rsid w:val="00C834B6"/>
    <w:rsid w:val="00C83513"/>
    <w:rsid w:val="00C8374A"/>
    <w:rsid w:val="00C8469A"/>
    <w:rsid w:val="00C864C2"/>
    <w:rsid w:val="00C865D7"/>
    <w:rsid w:val="00C87124"/>
    <w:rsid w:val="00C87E47"/>
    <w:rsid w:val="00C87EA3"/>
    <w:rsid w:val="00C900CB"/>
    <w:rsid w:val="00C90528"/>
    <w:rsid w:val="00C90FAE"/>
    <w:rsid w:val="00C917FF"/>
    <w:rsid w:val="00C92A38"/>
    <w:rsid w:val="00C92F25"/>
    <w:rsid w:val="00C9303D"/>
    <w:rsid w:val="00C93916"/>
    <w:rsid w:val="00C93DCD"/>
    <w:rsid w:val="00C943D3"/>
    <w:rsid w:val="00C94D29"/>
    <w:rsid w:val="00C94EC6"/>
    <w:rsid w:val="00C95723"/>
    <w:rsid w:val="00C97728"/>
    <w:rsid w:val="00C97EE7"/>
    <w:rsid w:val="00CA0CE5"/>
    <w:rsid w:val="00CA11D0"/>
    <w:rsid w:val="00CA1D2A"/>
    <w:rsid w:val="00CA2CE1"/>
    <w:rsid w:val="00CA3AA8"/>
    <w:rsid w:val="00CA3B53"/>
    <w:rsid w:val="00CA3BE2"/>
    <w:rsid w:val="00CA3F73"/>
    <w:rsid w:val="00CA61E7"/>
    <w:rsid w:val="00CA6BA1"/>
    <w:rsid w:val="00CA6E27"/>
    <w:rsid w:val="00CA70C9"/>
    <w:rsid w:val="00CA70CE"/>
    <w:rsid w:val="00CA7D60"/>
    <w:rsid w:val="00CA8AE4"/>
    <w:rsid w:val="00CB0784"/>
    <w:rsid w:val="00CB18D8"/>
    <w:rsid w:val="00CB2B67"/>
    <w:rsid w:val="00CB30B6"/>
    <w:rsid w:val="00CB439E"/>
    <w:rsid w:val="00CB4809"/>
    <w:rsid w:val="00CB57F1"/>
    <w:rsid w:val="00CB5930"/>
    <w:rsid w:val="00CB5957"/>
    <w:rsid w:val="00CB5E8C"/>
    <w:rsid w:val="00CB7A7A"/>
    <w:rsid w:val="00CC0977"/>
    <w:rsid w:val="00CC1E34"/>
    <w:rsid w:val="00CC311D"/>
    <w:rsid w:val="00CC383C"/>
    <w:rsid w:val="00CC38E9"/>
    <w:rsid w:val="00CC48BA"/>
    <w:rsid w:val="00CC4B23"/>
    <w:rsid w:val="00CC4C16"/>
    <w:rsid w:val="00CC51D9"/>
    <w:rsid w:val="00CC5504"/>
    <w:rsid w:val="00CC5BD4"/>
    <w:rsid w:val="00CC5C19"/>
    <w:rsid w:val="00CC6121"/>
    <w:rsid w:val="00CC6249"/>
    <w:rsid w:val="00CC7163"/>
    <w:rsid w:val="00CC74C9"/>
    <w:rsid w:val="00CD17F1"/>
    <w:rsid w:val="00CD18CA"/>
    <w:rsid w:val="00CD3646"/>
    <w:rsid w:val="00CD48D2"/>
    <w:rsid w:val="00CD4AD8"/>
    <w:rsid w:val="00CD4BAA"/>
    <w:rsid w:val="00CD5C6E"/>
    <w:rsid w:val="00CE0CAC"/>
    <w:rsid w:val="00CE1076"/>
    <w:rsid w:val="00CE1DA6"/>
    <w:rsid w:val="00CE293E"/>
    <w:rsid w:val="00CE391C"/>
    <w:rsid w:val="00CE433F"/>
    <w:rsid w:val="00CE4370"/>
    <w:rsid w:val="00CE4466"/>
    <w:rsid w:val="00CE486E"/>
    <w:rsid w:val="00CE5368"/>
    <w:rsid w:val="00CE5846"/>
    <w:rsid w:val="00CE666F"/>
    <w:rsid w:val="00CE7F34"/>
    <w:rsid w:val="00CF0616"/>
    <w:rsid w:val="00CF0E7B"/>
    <w:rsid w:val="00CF1B68"/>
    <w:rsid w:val="00CF3B04"/>
    <w:rsid w:val="00CF3C0B"/>
    <w:rsid w:val="00CF426E"/>
    <w:rsid w:val="00CF4530"/>
    <w:rsid w:val="00CF54D8"/>
    <w:rsid w:val="00CF55ED"/>
    <w:rsid w:val="00CF6A57"/>
    <w:rsid w:val="00CF6AD8"/>
    <w:rsid w:val="00CF6D21"/>
    <w:rsid w:val="00CF799E"/>
    <w:rsid w:val="00D01B63"/>
    <w:rsid w:val="00D01DAB"/>
    <w:rsid w:val="00D028D7"/>
    <w:rsid w:val="00D02A9D"/>
    <w:rsid w:val="00D05488"/>
    <w:rsid w:val="00D07662"/>
    <w:rsid w:val="00D07CC5"/>
    <w:rsid w:val="00D10A3E"/>
    <w:rsid w:val="00D119C6"/>
    <w:rsid w:val="00D11DA1"/>
    <w:rsid w:val="00D122A0"/>
    <w:rsid w:val="00D12BCA"/>
    <w:rsid w:val="00D13138"/>
    <w:rsid w:val="00D13EAD"/>
    <w:rsid w:val="00D1532C"/>
    <w:rsid w:val="00D1699B"/>
    <w:rsid w:val="00D17003"/>
    <w:rsid w:val="00D17E11"/>
    <w:rsid w:val="00D20543"/>
    <w:rsid w:val="00D208AF"/>
    <w:rsid w:val="00D20C4E"/>
    <w:rsid w:val="00D2269C"/>
    <w:rsid w:val="00D22D51"/>
    <w:rsid w:val="00D23FB4"/>
    <w:rsid w:val="00D25BB5"/>
    <w:rsid w:val="00D26444"/>
    <w:rsid w:val="00D26A51"/>
    <w:rsid w:val="00D26CFE"/>
    <w:rsid w:val="00D27780"/>
    <w:rsid w:val="00D307BB"/>
    <w:rsid w:val="00D316C0"/>
    <w:rsid w:val="00D31C7F"/>
    <w:rsid w:val="00D32CD4"/>
    <w:rsid w:val="00D33342"/>
    <w:rsid w:val="00D33E9F"/>
    <w:rsid w:val="00D341A9"/>
    <w:rsid w:val="00D3431D"/>
    <w:rsid w:val="00D34D2C"/>
    <w:rsid w:val="00D3650F"/>
    <w:rsid w:val="00D40529"/>
    <w:rsid w:val="00D40AD0"/>
    <w:rsid w:val="00D40DAA"/>
    <w:rsid w:val="00D414C5"/>
    <w:rsid w:val="00D416ED"/>
    <w:rsid w:val="00D42254"/>
    <w:rsid w:val="00D42E71"/>
    <w:rsid w:val="00D42FCF"/>
    <w:rsid w:val="00D436F3"/>
    <w:rsid w:val="00D43AC9"/>
    <w:rsid w:val="00D44286"/>
    <w:rsid w:val="00D45524"/>
    <w:rsid w:val="00D4564A"/>
    <w:rsid w:val="00D46511"/>
    <w:rsid w:val="00D46AC5"/>
    <w:rsid w:val="00D47408"/>
    <w:rsid w:val="00D476E6"/>
    <w:rsid w:val="00D47CC3"/>
    <w:rsid w:val="00D47E57"/>
    <w:rsid w:val="00D50010"/>
    <w:rsid w:val="00D50027"/>
    <w:rsid w:val="00D5092A"/>
    <w:rsid w:val="00D50A07"/>
    <w:rsid w:val="00D5122E"/>
    <w:rsid w:val="00D51898"/>
    <w:rsid w:val="00D51AA0"/>
    <w:rsid w:val="00D51CBC"/>
    <w:rsid w:val="00D520B6"/>
    <w:rsid w:val="00D52141"/>
    <w:rsid w:val="00D521A6"/>
    <w:rsid w:val="00D5266E"/>
    <w:rsid w:val="00D526BB"/>
    <w:rsid w:val="00D527D2"/>
    <w:rsid w:val="00D52FF9"/>
    <w:rsid w:val="00D55111"/>
    <w:rsid w:val="00D554D8"/>
    <w:rsid w:val="00D560F7"/>
    <w:rsid w:val="00D56F42"/>
    <w:rsid w:val="00D56F62"/>
    <w:rsid w:val="00D6159D"/>
    <w:rsid w:val="00D61BCF"/>
    <w:rsid w:val="00D61C18"/>
    <w:rsid w:val="00D62067"/>
    <w:rsid w:val="00D626B2"/>
    <w:rsid w:val="00D6278E"/>
    <w:rsid w:val="00D62AB2"/>
    <w:rsid w:val="00D62BC9"/>
    <w:rsid w:val="00D63203"/>
    <w:rsid w:val="00D6440E"/>
    <w:rsid w:val="00D65C3D"/>
    <w:rsid w:val="00D6681A"/>
    <w:rsid w:val="00D66892"/>
    <w:rsid w:val="00D705B1"/>
    <w:rsid w:val="00D71DDC"/>
    <w:rsid w:val="00D71DFE"/>
    <w:rsid w:val="00D72AE3"/>
    <w:rsid w:val="00D736F8"/>
    <w:rsid w:val="00D74F80"/>
    <w:rsid w:val="00D751DE"/>
    <w:rsid w:val="00D7550B"/>
    <w:rsid w:val="00D8107F"/>
    <w:rsid w:val="00D81844"/>
    <w:rsid w:val="00D821E5"/>
    <w:rsid w:val="00D8254C"/>
    <w:rsid w:val="00D82D68"/>
    <w:rsid w:val="00D83213"/>
    <w:rsid w:val="00D83C06"/>
    <w:rsid w:val="00D84D7D"/>
    <w:rsid w:val="00D85463"/>
    <w:rsid w:val="00D86336"/>
    <w:rsid w:val="00D866E4"/>
    <w:rsid w:val="00D8700A"/>
    <w:rsid w:val="00D903B7"/>
    <w:rsid w:val="00D906B6"/>
    <w:rsid w:val="00D90F58"/>
    <w:rsid w:val="00D910AA"/>
    <w:rsid w:val="00D912C4"/>
    <w:rsid w:val="00D9258D"/>
    <w:rsid w:val="00D9260F"/>
    <w:rsid w:val="00D926B2"/>
    <w:rsid w:val="00D92EC3"/>
    <w:rsid w:val="00D9345C"/>
    <w:rsid w:val="00D93783"/>
    <w:rsid w:val="00D937D8"/>
    <w:rsid w:val="00D94665"/>
    <w:rsid w:val="00D95154"/>
    <w:rsid w:val="00D9530B"/>
    <w:rsid w:val="00D96845"/>
    <w:rsid w:val="00D97844"/>
    <w:rsid w:val="00DA0715"/>
    <w:rsid w:val="00DA1EA3"/>
    <w:rsid w:val="00DA303A"/>
    <w:rsid w:val="00DA3E44"/>
    <w:rsid w:val="00DA46CF"/>
    <w:rsid w:val="00DA5BA6"/>
    <w:rsid w:val="00DA63C1"/>
    <w:rsid w:val="00DA7348"/>
    <w:rsid w:val="00DA7B6E"/>
    <w:rsid w:val="00DA7CE2"/>
    <w:rsid w:val="00DB00CB"/>
    <w:rsid w:val="00DB0466"/>
    <w:rsid w:val="00DB1E87"/>
    <w:rsid w:val="00DB2098"/>
    <w:rsid w:val="00DB2CF1"/>
    <w:rsid w:val="00DB358D"/>
    <w:rsid w:val="00DB4732"/>
    <w:rsid w:val="00DB4A65"/>
    <w:rsid w:val="00DB4A7A"/>
    <w:rsid w:val="00DB6329"/>
    <w:rsid w:val="00DB6D1D"/>
    <w:rsid w:val="00DB7789"/>
    <w:rsid w:val="00DC10E5"/>
    <w:rsid w:val="00DC187C"/>
    <w:rsid w:val="00DC1CA9"/>
    <w:rsid w:val="00DC3224"/>
    <w:rsid w:val="00DC37E2"/>
    <w:rsid w:val="00DC3E11"/>
    <w:rsid w:val="00DC3F6D"/>
    <w:rsid w:val="00DC4D13"/>
    <w:rsid w:val="00DC5680"/>
    <w:rsid w:val="00DC5866"/>
    <w:rsid w:val="00DC6A30"/>
    <w:rsid w:val="00DC70B1"/>
    <w:rsid w:val="00DC7A35"/>
    <w:rsid w:val="00DC7BE3"/>
    <w:rsid w:val="00DD0950"/>
    <w:rsid w:val="00DD0DC8"/>
    <w:rsid w:val="00DD0F93"/>
    <w:rsid w:val="00DD1745"/>
    <w:rsid w:val="00DD18BA"/>
    <w:rsid w:val="00DD1A9A"/>
    <w:rsid w:val="00DD304B"/>
    <w:rsid w:val="00DD3157"/>
    <w:rsid w:val="00DD3A57"/>
    <w:rsid w:val="00DD4E38"/>
    <w:rsid w:val="00DD5156"/>
    <w:rsid w:val="00DD51E3"/>
    <w:rsid w:val="00DD6B9C"/>
    <w:rsid w:val="00DD6E9F"/>
    <w:rsid w:val="00DE0426"/>
    <w:rsid w:val="00DE1522"/>
    <w:rsid w:val="00DE376F"/>
    <w:rsid w:val="00DE40B4"/>
    <w:rsid w:val="00DE4DDE"/>
    <w:rsid w:val="00DE5435"/>
    <w:rsid w:val="00DE5BBD"/>
    <w:rsid w:val="00DE62E8"/>
    <w:rsid w:val="00DE79AA"/>
    <w:rsid w:val="00DE7A64"/>
    <w:rsid w:val="00DF0180"/>
    <w:rsid w:val="00DF0340"/>
    <w:rsid w:val="00DF0619"/>
    <w:rsid w:val="00DF0EDC"/>
    <w:rsid w:val="00DF1632"/>
    <w:rsid w:val="00DF3735"/>
    <w:rsid w:val="00DF3FBE"/>
    <w:rsid w:val="00DF4794"/>
    <w:rsid w:val="00DF495E"/>
    <w:rsid w:val="00DF50B3"/>
    <w:rsid w:val="00DF5B82"/>
    <w:rsid w:val="00DF60EF"/>
    <w:rsid w:val="00DF629E"/>
    <w:rsid w:val="00DF6A3D"/>
    <w:rsid w:val="00DF6CE9"/>
    <w:rsid w:val="00DF7B3D"/>
    <w:rsid w:val="00DF7C63"/>
    <w:rsid w:val="00E00253"/>
    <w:rsid w:val="00E00EF4"/>
    <w:rsid w:val="00E0154E"/>
    <w:rsid w:val="00E02245"/>
    <w:rsid w:val="00E030B8"/>
    <w:rsid w:val="00E034ED"/>
    <w:rsid w:val="00E035B5"/>
    <w:rsid w:val="00E047F9"/>
    <w:rsid w:val="00E04D89"/>
    <w:rsid w:val="00E04EF5"/>
    <w:rsid w:val="00E05CFC"/>
    <w:rsid w:val="00E073FE"/>
    <w:rsid w:val="00E07697"/>
    <w:rsid w:val="00E079B3"/>
    <w:rsid w:val="00E10C05"/>
    <w:rsid w:val="00E111AD"/>
    <w:rsid w:val="00E113BE"/>
    <w:rsid w:val="00E114D7"/>
    <w:rsid w:val="00E11534"/>
    <w:rsid w:val="00E115D6"/>
    <w:rsid w:val="00E11716"/>
    <w:rsid w:val="00E12DFB"/>
    <w:rsid w:val="00E13969"/>
    <w:rsid w:val="00E13D98"/>
    <w:rsid w:val="00E13F66"/>
    <w:rsid w:val="00E15F00"/>
    <w:rsid w:val="00E1647F"/>
    <w:rsid w:val="00E164AE"/>
    <w:rsid w:val="00E164F2"/>
    <w:rsid w:val="00E16CBB"/>
    <w:rsid w:val="00E16D94"/>
    <w:rsid w:val="00E1758C"/>
    <w:rsid w:val="00E17940"/>
    <w:rsid w:val="00E17BBC"/>
    <w:rsid w:val="00E17CF3"/>
    <w:rsid w:val="00E17DF3"/>
    <w:rsid w:val="00E20939"/>
    <w:rsid w:val="00E20B6D"/>
    <w:rsid w:val="00E216FA"/>
    <w:rsid w:val="00E2329E"/>
    <w:rsid w:val="00E234D4"/>
    <w:rsid w:val="00E23F5E"/>
    <w:rsid w:val="00E245E8"/>
    <w:rsid w:val="00E25120"/>
    <w:rsid w:val="00E2544B"/>
    <w:rsid w:val="00E25779"/>
    <w:rsid w:val="00E26673"/>
    <w:rsid w:val="00E268DF"/>
    <w:rsid w:val="00E26D46"/>
    <w:rsid w:val="00E27565"/>
    <w:rsid w:val="00E2761D"/>
    <w:rsid w:val="00E27D87"/>
    <w:rsid w:val="00E27E0A"/>
    <w:rsid w:val="00E3050E"/>
    <w:rsid w:val="00E30E55"/>
    <w:rsid w:val="00E32A20"/>
    <w:rsid w:val="00E3416F"/>
    <w:rsid w:val="00E351F6"/>
    <w:rsid w:val="00E35551"/>
    <w:rsid w:val="00E35ECE"/>
    <w:rsid w:val="00E362B7"/>
    <w:rsid w:val="00E36688"/>
    <w:rsid w:val="00E37A08"/>
    <w:rsid w:val="00E37F12"/>
    <w:rsid w:val="00E404E5"/>
    <w:rsid w:val="00E408D6"/>
    <w:rsid w:val="00E41351"/>
    <w:rsid w:val="00E42304"/>
    <w:rsid w:val="00E43878"/>
    <w:rsid w:val="00E44326"/>
    <w:rsid w:val="00E4433C"/>
    <w:rsid w:val="00E444B9"/>
    <w:rsid w:val="00E4487F"/>
    <w:rsid w:val="00E44CA1"/>
    <w:rsid w:val="00E45EC5"/>
    <w:rsid w:val="00E46076"/>
    <w:rsid w:val="00E4614A"/>
    <w:rsid w:val="00E46D16"/>
    <w:rsid w:val="00E46E5C"/>
    <w:rsid w:val="00E475A7"/>
    <w:rsid w:val="00E47CA3"/>
    <w:rsid w:val="00E500CA"/>
    <w:rsid w:val="00E502E7"/>
    <w:rsid w:val="00E507E7"/>
    <w:rsid w:val="00E51362"/>
    <w:rsid w:val="00E5176E"/>
    <w:rsid w:val="00E51AE1"/>
    <w:rsid w:val="00E52C8B"/>
    <w:rsid w:val="00E534D9"/>
    <w:rsid w:val="00E5408A"/>
    <w:rsid w:val="00E54B11"/>
    <w:rsid w:val="00E558FB"/>
    <w:rsid w:val="00E562D1"/>
    <w:rsid w:val="00E56870"/>
    <w:rsid w:val="00E57085"/>
    <w:rsid w:val="00E573C2"/>
    <w:rsid w:val="00E57E11"/>
    <w:rsid w:val="00E6105C"/>
    <w:rsid w:val="00E616DC"/>
    <w:rsid w:val="00E61D48"/>
    <w:rsid w:val="00E61DE2"/>
    <w:rsid w:val="00E61E42"/>
    <w:rsid w:val="00E62538"/>
    <w:rsid w:val="00E62735"/>
    <w:rsid w:val="00E62C45"/>
    <w:rsid w:val="00E63301"/>
    <w:rsid w:val="00E640D2"/>
    <w:rsid w:val="00E64226"/>
    <w:rsid w:val="00E64291"/>
    <w:rsid w:val="00E644B4"/>
    <w:rsid w:val="00E647F5"/>
    <w:rsid w:val="00E64B3D"/>
    <w:rsid w:val="00E65462"/>
    <w:rsid w:val="00E65B24"/>
    <w:rsid w:val="00E6646F"/>
    <w:rsid w:val="00E6661E"/>
    <w:rsid w:val="00E66880"/>
    <w:rsid w:val="00E66936"/>
    <w:rsid w:val="00E6CB52"/>
    <w:rsid w:val="00E70DBC"/>
    <w:rsid w:val="00E72E0F"/>
    <w:rsid w:val="00E72E67"/>
    <w:rsid w:val="00E73A70"/>
    <w:rsid w:val="00E73DD8"/>
    <w:rsid w:val="00E7436D"/>
    <w:rsid w:val="00E747E7"/>
    <w:rsid w:val="00E74809"/>
    <w:rsid w:val="00E74A9B"/>
    <w:rsid w:val="00E7576E"/>
    <w:rsid w:val="00E81167"/>
    <w:rsid w:val="00E811DC"/>
    <w:rsid w:val="00E82961"/>
    <w:rsid w:val="00E82BA9"/>
    <w:rsid w:val="00E84A23"/>
    <w:rsid w:val="00E84A8C"/>
    <w:rsid w:val="00E85B62"/>
    <w:rsid w:val="00E862F7"/>
    <w:rsid w:val="00E86FBB"/>
    <w:rsid w:val="00E87157"/>
    <w:rsid w:val="00E87EE2"/>
    <w:rsid w:val="00E87EFA"/>
    <w:rsid w:val="00E906DD"/>
    <w:rsid w:val="00E9087A"/>
    <w:rsid w:val="00E91359"/>
    <w:rsid w:val="00E922BB"/>
    <w:rsid w:val="00E92543"/>
    <w:rsid w:val="00E92797"/>
    <w:rsid w:val="00E941D6"/>
    <w:rsid w:val="00E952CE"/>
    <w:rsid w:val="00E9590B"/>
    <w:rsid w:val="00E95949"/>
    <w:rsid w:val="00E959FC"/>
    <w:rsid w:val="00E96307"/>
    <w:rsid w:val="00E966E6"/>
    <w:rsid w:val="00E96920"/>
    <w:rsid w:val="00E96C5A"/>
    <w:rsid w:val="00E96EB0"/>
    <w:rsid w:val="00E974DE"/>
    <w:rsid w:val="00E977C0"/>
    <w:rsid w:val="00E97F0B"/>
    <w:rsid w:val="00EA20A6"/>
    <w:rsid w:val="00EA2371"/>
    <w:rsid w:val="00EA29E2"/>
    <w:rsid w:val="00EA2DD7"/>
    <w:rsid w:val="00EA3569"/>
    <w:rsid w:val="00EA359E"/>
    <w:rsid w:val="00EA3650"/>
    <w:rsid w:val="00EA39F7"/>
    <w:rsid w:val="00EA42AF"/>
    <w:rsid w:val="00EA48E7"/>
    <w:rsid w:val="00EA6127"/>
    <w:rsid w:val="00EA61B4"/>
    <w:rsid w:val="00EA7688"/>
    <w:rsid w:val="00EB00EE"/>
    <w:rsid w:val="00EB0EBA"/>
    <w:rsid w:val="00EB1C93"/>
    <w:rsid w:val="00EB1D75"/>
    <w:rsid w:val="00EB20A9"/>
    <w:rsid w:val="00EB25CB"/>
    <w:rsid w:val="00EB2788"/>
    <w:rsid w:val="00EB2BAC"/>
    <w:rsid w:val="00EB2F37"/>
    <w:rsid w:val="00EB32BB"/>
    <w:rsid w:val="00EB3A0A"/>
    <w:rsid w:val="00EB668F"/>
    <w:rsid w:val="00EB6A32"/>
    <w:rsid w:val="00EB6B20"/>
    <w:rsid w:val="00EB7118"/>
    <w:rsid w:val="00EB73A9"/>
    <w:rsid w:val="00EC15A1"/>
    <w:rsid w:val="00EC16A4"/>
    <w:rsid w:val="00EC1880"/>
    <w:rsid w:val="00EC1932"/>
    <w:rsid w:val="00EC2076"/>
    <w:rsid w:val="00EC331B"/>
    <w:rsid w:val="00EC4360"/>
    <w:rsid w:val="00EC470B"/>
    <w:rsid w:val="00EC4FEC"/>
    <w:rsid w:val="00EC567F"/>
    <w:rsid w:val="00EC5EA0"/>
    <w:rsid w:val="00EC6367"/>
    <w:rsid w:val="00EC7B7C"/>
    <w:rsid w:val="00EC7CC5"/>
    <w:rsid w:val="00ED00FD"/>
    <w:rsid w:val="00ED02CE"/>
    <w:rsid w:val="00ED06AF"/>
    <w:rsid w:val="00ED1464"/>
    <w:rsid w:val="00ED1C69"/>
    <w:rsid w:val="00ED3480"/>
    <w:rsid w:val="00ED37FC"/>
    <w:rsid w:val="00ED3935"/>
    <w:rsid w:val="00ED3F75"/>
    <w:rsid w:val="00ED40B7"/>
    <w:rsid w:val="00ED5B74"/>
    <w:rsid w:val="00ED5B7C"/>
    <w:rsid w:val="00ED62B4"/>
    <w:rsid w:val="00ED7229"/>
    <w:rsid w:val="00ED7B23"/>
    <w:rsid w:val="00EE040B"/>
    <w:rsid w:val="00EE1E61"/>
    <w:rsid w:val="00EE1FE8"/>
    <w:rsid w:val="00EE2ED0"/>
    <w:rsid w:val="00EE30BA"/>
    <w:rsid w:val="00EE4329"/>
    <w:rsid w:val="00EE4522"/>
    <w:rsid w:val="00EE4FB3"/>
    <w:rsid w:val="00EE5335"/>
    <w:rsid w:val="00EE61CE"/>
    <w:rsid w:val="00EE67FA"/>
    <w:rsid w:val="00EE6834"/>
    <w:rsid w:val="00EE7D8F"/>
    <w:rsid w:val="00EF0A21"/>
    <w:rsid w:val="00EF223A"/>
    <w:rsid w:val="00EF2277"/>
    <w:rsid w:val="00EF33A8"/>
    <w:rsid w:val="00EF4201"/>
    <w:rsid w:val="00EF4404"/>
    <w:rsid w:val="00EF4D09"/>
    <w:rsid w:val="00EF54C3"/>
    <w:rsid w:val="00EF59DA"/>
    <w:rsid w:val="00EF5C07"/>
    <w:rsid w:val="00EF60B2"/>
    <w:rsid w:val="00EF66FF"/>
    <w:rsid w:val="00EF722B"/>
    <w:rsid w:val="00EF7319"/>
    <w:rsid w:val="00EF7C8B"/>
    <w:rsid w:val="00F00679"/>
    <w:rsid w:val="00F014EF"/>
    <w:rsid w:val="00F022A3"/>
    <w:rsid w:val="00F02E7C"/>
    <w:rsid w:val="00F040BC"/>
    <w:rsid w:val="00F04624"/>
    <w:rsid w:val="00F064D1"/>
    <w:rsid w:val="00F075B9"/>
    <w:rsid w:val="00F0769A"/>
    <w:rsid w:val="00F07B2D"/>
    <w:rsid w:val="00F07B91"/>
    <w:rsid w:val="00F07E5E"/>
    <w:rsid w:val="00F1035E"/>
    <w:rsid w:val="00F10849"/>
    <w:rsid w:val="00F1084A"/>
    <w:rsid w:val="00F1269E"/>
    <w:rsid w:val="00F13BCA"/>
    <w:rsid w:val="00F13D72"/>
    <w:rsid w:val="00F14653"/>
    <w:rsid w:val="00F155FF"/>
    <w:rsid w:val="00F159CF"/>
    <w:rsid w:val="00F15F6E"/>
    <w:rsid w:val="00F165E4"/>
    <w:rsid w:val="00F16D7A"/>
    <w:rsid w:val="00F17B1F"/>
    <w:rsid w:val="00F215B2"/>
    <w:rsid w:val="00F233A4"/>
    <w:rsid w:val="00F249B9"/>
    <w:rsid w:val="00F26199"/>
    <w:rsid w:val="00F2700C"/>
    <w:rsid w:val="00F274F7"/>
    <w:rsid w:val="00F27C1A"/>
    <w:rsid w:val="00F302C3"/>
    <w:rsid w:val="00F3090D"/>
    <w:rsid w:val="00F30B03"/>
    <w:rsid w:val="00F30BD9"/>
    <w:rsid w:val="00F32A4D"/>
    <w:rsid w:val="00F33516"/>
    <w:rsid w:val="00F3396C"/>
    <w:rsid w:val="00F343BE"/>
    <w:rsid w:val="00F34B77"/>
    <w:rsid w:val="00F3521D"/>
    <w:rsid w:val="00F35848"/>
    <w:rsid w:val="00F37F0D"/>
    <w:rsid w:val="00F40745"/>
    <w:rsid w:val="00F40D7A"/>
    <w:rsid w:val="00F414E4"/>
    <w:rsid w:val="00F417A8"/>
    <w:rsid w:val="00F418D9"/>
    <w:rsid w:val="00F41A88"/>
    <w:rsid w:val="00F41AC3"/>
    <w:rsid w:val="00F41E84"/>
    <w:rsid w:val="00F448EA"/>
    <w:rsid w:val="00F44A67"/>
    <w:rsid w:val="00F455EC"/>
    <w:rsid w:val="00F4593D"/>
    <w:rsid w:val="00F465A9"/>
    <w:rsid w:val="00F466D0"/>
    <w:rsid w:val="00F46CB2"/>
    <w:rsid w:val="00F47339"/>
    <w:rsid w:val="00F501E6"/>
    <w:rsid w:val="00F5029E"/>
    <w:rsid w:val="00F51313"/>
    <w:rsid w:val="00F51D61"/>
    <w:rsid w:val="00F5456F"/>
    <w:rsid w:val="00F54BBE"/>
    <w:rsid w:val="00F54DEC"/>
    <w:rsid w:val="00F579FF"/>
    <w:rsid w:val="00F6018D"/>
    <w:rsid w:val="00F6124E"/>
    <w:rsid w:val="00F6138A"/>
    <w:rsid w:val="00F613BC"/>
    <w:rsid w:val="00F614B4"/>
    <w:rsid w:val="00F61682"/>
    <w:rsid w:val="00F62698"/>
    <w:rsid w:val="00F63899"/>
    <w:rsid w:val="00F6397C"/>
    <w:rsid w:val="00F63BB4"/>
    <w:rsid w:val="00F63D51"/>
    <w:rsid w:val="00F64850"/>
    <w:rsid w:val="00F64D57"/>
    <w:rsid w:val="00F66623"/>
    <w:rsid w:val="00F66BCF"/>
    <w:rsid w:val="00F6725B"/>
    <w:rsid w:val="00F672BD"/>
    <w:rsid w:val="00F678B7"/>
    <w:rsid w:val="00F70409"/>
    <w:rsid w:val="00F70762"/>
    <w:rsid w:val="00F707C5"/>
    <w:rsid w:val="00F707E3"/>
    <w:rsid w:val="00F70B48"/>
    <w:rsid w:val="00F70B8C"/>
    <w:rsid w:val="00F71962"/>
    <w:rsid w:val="00F72682"/>
    <w:rsid w:val="00F73571"/>
    <w:rsid w:val="00F735C5"/>
    <w:rsid w:val="00F73904"/>
    <w:rsid w:val="00F756C3"/>
    <w:rsid w:val="00F76385"/>
    <w:rsid w:val="00F76C82"/>
    <w:rsid w:val="00F8006D"/>
    <w:rsid w:val="00F80A5C"/>
    <w:rsid w:val="00F81370"/>
    <w:rsid w:val="00F820BD"/>
    <w:rsid w:val="00F8237F"/>
    <w:rsid w:val="00F82C9C"/>
    <w:rsid w:val="00F83199"/>
    <w:rsid w:val="00F83844"/>
    <w:rsid w:val="00F84466"/>
    <w:rsid w:val="00F853E5"/>
    <w:rsid w:val="00F85DBD"/>
    <w:rsid w:val="00F86232"/>
    <w:rsid w:val="00F864FD"/>
    <w:rsid w:val="00F86C8A"/>
    <w:rsid w:val="00F8785B"/>
    <w:rsid w:val="00F878E6"/>
    <w:rsid w:val="00F87FAD"/>
    <w:rsid w:val="00F90194"/>
    <w:rsid w:val="00F917A8"/>
    <w:rsid w:val="00F91828"/>
    <w:rsid w:val="00F91E2D"/>
    <w:rsid w:val="00F92294"/>
    <w:rsid w:val="00F9320A"/>
    <w:rsid w:val="00F93B1D"/>
    <w:rsid w:val="00F93D19"/>
    <w:rsid w:val="00F94322"/>
    <w:rsid w:val="00F9438D"/>
    <w:rsid w:val="00F951DB"/>
    <w:rsid w:val="00F954DB"/>
    <w:rsid w:val="00F9594A"/>
    <w:rsid w:val="00F9613C"/>
    <w:rsid w:val="00F964B5"/>
    <w:rsid w:val="00F967D4"/>
    <w:rsid w:val="00F96C77"/>
    <w:rsid w:val="00F971C4"/>
    <w:rsid w:val="00F97429"/>
    <w:rsid w:val="00F97582"/>
    <w:rsid w:val="00F97934"/>
    <w:rsid w:val="00F97BEE"/>
    <w:rsid w:val="00FA1085"/>
    <w:rsid w:val="00FA1100"/>
    <w:rsid w:val="00FA1A80"/>
    <w:rsid w:val="00FA1D08"/>
    <w:rsid w:val="00FA20DA"/>
    <w:rsid w:val="00FA2F4A"/>
    <w:rsid w:val="00FA409E"/>
    <w:rsid w:val="00FA454E"/>
    <w:rsid w:val="00FA4651"/>
    <w:rsid w:val="00FA4B87"/>
    <w:rsid w:val="00FA717E"/>
    <w:rsid w:val="00FA7571"/>
    <w:rsid w:val="00FA78DB"/>
    <w:rsid w:val="00FA7D3D"/>
    <w:rsid w:val="00FB0498"/>
    <w:rsid w:val="00FB28AB"/>
    <w:rsid w:val="00FB4613"/>
    <w:rsid w:val="00FB4940"/>
    <w:rsid w:val="00FB55C9"/>
    <w:rsid w:val="00FB5B64"/>
    <w:rsid w:val="00FB5B73"/>
    <w:rsid w:val="00FB6487"/>
    <w:rsid w:val="00FB717B"/>
    <w:rsid w:val="00FC0FEF"/>
    <w:rsid w:val="00FC1433"/>
    <w:rsid w:val="00FC2CE2"/>
    <w:rsid w:val="00FC3016"/>
    <w:rsid w:val="00FC36A8"/>
    <w:rsid w:val="00FC3CAA"/>
    <w:rsid w:val="00FC3DC1"/>
    <w:rsid w:val="00FC45CD"/>
    <w:rsid w:val="00FC4A02"/>
    <w:rsid w:val="00FC512F"/>
    <w:rsid w:val="00FC58C1"/>
    <w:rsid w:val="00FC5AC2"/>
    <w:rsid w:val="00FC5E53"/>
    <w:rsid w:val="00FC650E"/>
    <w:rsid w:val="00FC7AAB"/>
    <w:rsid w:val="00FC7EF2"/>
    <w:rsid w:val="00FC7FC2"/>
    <w:rsid w:val="00FD00C6"/>
    <w:rsid w:val="00FD0811"/>
    <w:rsid w:val="00FD098F"/>
    <w:rsid w:val="00FD0B48"/>
    <w:rsid w:val="00FD1638"/>
    <w:rsid w:val="00FD1E02"/>
    <w:rsid w:val="00FD236A"/>
    <w:rsid w:val="00FD24F1"/>
    <w:rsid w:val="00FD2529"/>
    <w:rsid w:val="00FD39E2"/>
    <w:rsid w:val="00FD423A"/>
    <w:rsid w:val="00FD42ED"/>
    <w:rsid w:val="00FD4B20"/>
    <w:rsid w:val="00FD4F9B"/>
    <w:rsid w:val="00FD54F7"/>
    <w:rsid w:val="00FD62A2"/>
    <w:rsid w:val="00FD7F51"/>
    <w:rsid w:val="00FE0036"/>
    <w:rsid w:val="00FE0352"/>
    <w:rsid w:val="00FE08ED"/>
    <w:rsid w:val="00FE0AE6"/>
    <w:rsid w:val="00FE0D18"/>
    <w:rsid w:val="00FE160A"/>
    <w:rsid w:val="00FE1B3B"/>
    <w:rsid w:val="00FE20E2"/>
    <w:rsid w:val="00FE458A"/>
    <w:rsid w:val="00FE5B47"/>
    <w:rsid w:val="00FE62B6"/>
    <w:rsid w:val="00FF0723"/>
    <w:rsid w:val="00FF0C2D"/>
    <w:rsid w:val="00FF1E7C"/>
    <w:rsid w:val="00FF24BF"/>
    <w:rsid w:val="00FF29D3"/>
    <w:rsid w:val="00FF2F18"/>
    <w:rsid w:val="00FF3677"/>
    <w:rsid w:val="00FF49C9"/>
    <w:rsid w:val="00FF4DE0"/>
    <w:rsid w:val="00FF58C4"/>
    <w:rsid w:val="00FF5D52"/>
    <w:rsid w:val="00FF5DCF"/>
    <w:rsid w:val="00FF7166"/>
    <w:rsid w:val="00FF735D"/>
    <w:rsid w:val="01368F49"/>
    <w:rsid w:val="014EE91C"/>
    <w:rsid w:val="01EE4537"/>
    <w:rsid w:val="0251DAEC"/>
    <w:rsid w:val="02B9567B"/>
    <w:rsid w:val="03DB892F"/>
    <w:rsid w:val="043AFBEA"/>
    <w:rsid w:val="053470F5"/>
    <w:rsid w:val="056E4A24"/>
    <w:rsid w:val="05AECF7B"/>
    <w:rsid w:val="0605BC38"/>
    <w:rsid w:val="06225A3F"/>
    <w:rsid w:val="06338C99"/>
    <w:rsid w:val="063CD9EA"/>
    <w:rsid w:val="06AEDF7B"/>
    <w:rsid w:val="07191E5C"/>
    <w:rsid w:val="080136F2"/>
    <w:rsid w:val="08057EA0"/>
    <w:rsid w:val="09F5ED04"/>
    <w:rsid w:val="0A3601F0"/>
    <w:rsid w:val="0A452230"/>
    <w:rsid w:val="0A6D7307"/>
    <w:rsid w:val="0B6FF11F"/>
    <w:rsid w:val="0B744DCE"/>
    <w:rsid w:val="0BD1DCE9"/>
    <w:rsid w:val="0DB0CD92"/>
    <w:rsid w:val="0DFFDB47"/>
    <w:rsid w:val="0EB65DE3"/>
    <w:rsid w:val="0ECB35FD"/>
    <w:rsid w:val="0EF8BBA4"/>
    <w:rsid w:val="0F6A3972"/>
    <w:rsid w:val="0FBB019E"/>
    <w:rsid w:val="100B7C80"/>
    <w:rsid w:val="10A6D70B"/>
    <w:rsid w:val="10BCFF78"/>
    <w:rsid w:val="10F146D1"/>
    <w:rsid w:val="11A3DD83"/>
    <w:rsid w:val="1273A7FF"/>
    <w:rsid w:val="12D9656D"/>
    <w:rsid w:val="1467D559"/>
    <w:rsid w:val="151F1E3A"/>
    <w:rsid w:val="15583384"/>
    <w:rsid w:val="1586FD2C"/>
    <w:rsid w:val="15CBC9C7"/>
    <w:rsid w:val="15FFD556"/>
    <w:rsid w:val="1686EE0E"/>
    <w:rsid w:val="189907C3"/>
    <w:rsid w:val="189EC909"/>
    <w:rsid w:val="194CAC6E"/>
    <w:rsid w:val="1951F02D"/>
    <w:rsid w:val="1955DB21"/>
    <w:rsid w:val="1A2B6AE1"/>
    <w:rsid w:val="1A34FFF0"/>
    <w:rsid w:val="1A570F07"/>
    <w:rsid w:val="1A7D52AB"/>
    <w:rsid w:val="1ACD080F"/>
    <w:rsid w:val="1AE09B1E"/>
    <w:rsid w:val="1B7A3736"/>
    <w:rsid w:val="1BA826C3"/>
    <w:rsid w:val="1BE1CF04"/>
    <w:rsid w:val="1C2141D9"/>
    <w:rsid w:val="1D612E95"/>
    <w:rsid w:val="1DAC4857"/>
    <w:rsid w:val="1E800569"/>
    <w:rsid w:val="1E87048D"/>
    <w:rsid w:val="1EA6694B"/>
    <w:rsid w:val="1ED53DA6"/>
    <w:rsid w:val="1EF3C9B8"/>
    <w:rsid w:val="1F421181"/>
    <w:rsid w:val="1F756EDC"/>
    <w:rsid w:val="213EC704"/>
    <w:rsid w:val="219601D4"/>
    <w:rsid w:val="22DD52C7"/>
    <w:rsid w:val="235D740B"/>
    <w:rsid w:val="23605057"/>
    <w:rsid w:val="23FD671F"/>
    <w:rsid w:val="245E47AE"/>
    <w:rsid w:val="252B550E"/>
    <w:rsid w:val="254369D6"/>
    <w:rsid w:val="25EC1FB6"/>
    <w:rsid w:val="25F7AB79"/>
    <w:rsid w:val="262904F7"/>
    <w:rsid w:val="2711968C"/>
    <w:rsid w:val="27EED1C9"/>
    <w:rsid w:val="289FC169"/>
    <w:rsid w:val="2B1B006E"/>
    <w:rsid w:val="2B7FEC7F"/>
    <w:rsid w:val="2CD8B47B"/>
    <w:rsid w:val="2CE24030"/>
    <w:rsid w:val="2CF0C0FF"/>
    <w:rsid w:val="2D1C0D3B"/>
    <w:rsid w:val="2DB8EA4A"/>
    <w:rsid w:val="2DF3760B"/>
    <w:rsid w:val="2DF4ECFC"/>
    <w:rsid w:val="2E4C1FC8"/>
    <w:rsid w:val="2E61004E"/>
    <w:rsid w:val="2F9C295B"/>
    <w:rsid w:val="3053ADFD"/>
    <w:rsid w:val="30A45B95"/>
    <w:rsid w:val="31D403B4"/>
    <w:rsid w:val="322E3A9A"/>
    <w:rsid w:val="3273DC96"/>
    <w:rsid w:val="329C1263"/>
    <w:rsid w:val="3327A6F1"/>
    <w:rsid w:val="3390EA56"/>
    <w:rsid w:val="3403CB39"/>
    <w:rsid w:val="34E31E9A"/>
    <w:rsid w:val="34EC79B3"/>
    <w:rsid w:val="35CCA770"/>
    <w:rsid w:val="368B8056"/>
    <w:rsid w:val="3694F8F1"/>
    <w:rsid w:val="370ED6DC"/>
    <w:rsid w:val="376877D1"/>
    <w:rsid w:val="37CA34AF"/>
    <w:rsid w:val="3829EB7A"/>
    <w:rsid w:val="383E0BC7"/>
    <w:rsid w:val="38CDCA8E"/>
    <w:rsid w:val="39044832"/>
    <w:rsid w:val="3974DE16"/>
    <w:rsid w:val="39C12796"/>
    <w:rsid w:val="39D926CE"/>
    <w:rsid w:val="39E025E1"/>
    <w:rsid w:val="3A14299E"/>
    <w:rsid w:val="3A2D3396"/>
    <w:rsid w:val="3AD57732"/>
    <w:rsid w:val="3AE28D57"/>
    <w:rsid w:val="3AF7D005"/>
    <w:rsid w:val="3BA0E27B"/>
    <w:rsid w:val="3C1780A4"/>
    <w:rsid w:val="3C692419"/>
    <w:rsid w:val="3D28E848"/>
    <w:rsid w:val="3E4E71AA"/>
    <w:rsid w:val="3FEA39FB"/>
    <w:rsid w:val="3FF0947E"/>
    <w:rsid w:val="4013CE7F"/>
    <w:rsid w:val="40153E30"/>
    <w:rsid w:val="402E668D"/>
    <w:rsid w:val="41E07A46"/>
    <w:rsid w:val="42F7D60C"/>
    <w:rsid w:val="4342DC78"/>
    <w:rsid w:val="439E5FB6"/>
    <w:rsid w:val="4492F54E"/>
    <w:rsid w:val="44A84153"/>
    <w:rsid w:val="44EA42EA"/>
    <w:rsid w:val="46847FB4"/>
    <w:rsid w:val="480CE49B"/>
    <w:rsid w:val="49F8BA61"/>
    <w:rsid w:val="49FA2914"/>
    <w:rsid w:val="4A83D76E"/>
    <w:rsid w:val="4AD5A782"/>
    <w:rsid w:val="4AD83954"/>
    <w:rsid w:val="4AEB2EDA"/>
    <w:rsid w:val="4AF98BB2"/>
    <w:rsid w:val="4AFF61E5"/>
    <w:rsid w:val="4B50C286"/>
    <w:rsid w:val="4B530ED4"/>
    <w:rsid w:val="4B722B7E"/>
    <w:rsid w:val="4B8B06E7"/>
    <w:rsid w:val="4C6BA45A"/>
    <w:rsid w:val="4CF554CF"/>
    <w:rsid w:val="4DAFC14F"/>
    <w:rsid w:val="4DB3F0AA"/>
    <w:rsid w:val="4DF2D216"/>
    <w:rsid w:val="4E0774BB"/>
    <w:rsid w:val="4E6ED6C0"/>
    <w:rsid w:val="4EB576A4"/>
    <w:rsid w:val="4EE5990E"/>
    <w:rsid w:val="4F2AD233"/>
    <w:rsid w:val="5029F5A1"/>
    <w:rsid w:val="50B58629"/>
    <w:rsid w:val="50B80BC4"/>
    <w:rsid w:val="50F3EF2C"/>
    <w:rsid w:val="5126C64A"/>
    <w:rsid w:val="51C5C602"/>
    <w:rsid w:val="525CEB19"/>
    <w:rsid w:val="5403B07F"/>
    <w:rsid w:val="54201DD1"/>
    <w:rsid w:val="55964976"/>
    <w:rsid w:val="55A2FE50"/>
    <w:rsid w:val="55B8625C"/>
    <w:rsid w:val="56B69200"/>
    <w:rsid w:val="56CAB286"/>
    <w:rsid w:val="57395555"/>
    <w:rsid w:val="57415B05"/>
    <w:rsid w:val="57FAC052"/>
    <w:rsid w:val="5806B5F1"/>
    <w:rsid w:val="58AD14F8"/>
    <w:rsid w:val="5A54C065"/>
    <w:rsid w:val="5A926539"/>
    <w:rsid w:val="5AA6D43C"/>
    <w:rsid w:val="5AB9018D"/>
    <w:rsid w:val="5B4A6E68"/>
    <w:rsid w:val="5B7795BE"/>
    <w:rsid w:val="5B925D6A"/>
    <w:rsid w:val="5BAEE843"/>
    <w:rsid w:val="5BB229D5"/>
    <w:rsid w:val="5BC1E942"/>
    <w:rsid w:val="5C38D166"/>
    <w:rsid w:val="5D13661F"/>
    <w:rsid w:val="5E74033F"/>
    <w:rsid w:val="5EBC4963"/>
    <w:rsid w:val="5EE68905"/>
    <w:rsid w:val="5F086292"/>
    <w:rsid w:val="5F997856"/>
    <w:rsid w:val="5FB45FDC"/>
    <w:rsid w:val="604B06E1"/>
    <w:rsid w:val="610686E8"/>
    <w:rsid w:val="611C205A"/>
    <w:rsid w:val="61450EB8"/>
    <w:rsid w:val="61FD9835"/>
    <w:rsid w:val="6205016A"/>
    <w:rsid w:val="6276D02E"/>
    <w:rsid w:val="628A4D18"/>
    <w:rsid w:val="62D22B62"/>
    <w:rsid w:val="62FB497B"/>
    <w:rsid w:val="6433A643"/>
    <w:rsid w:val="6469F51C"/>
    <w:rsid w:val="649719DC"/>
    <w:rsid w:val="6522DFC7"/>
    <w:rsid w:val="653CA22C"/>
    <w:rsid w:val="65CED6A4"/>
    <w:rsid w:val="67A195DE"/>
    <w:rsid w:val="67CCE583"/>
    <w:rsid w:val="68B787B0"/>
    <w:rsid w:val="6927323F"/>
    <w:rsid w:val="6949B4B2"/>
    <w:rsid w:val="69CF9AB7"/>
    <w:rsid w:val="6A341D8F"/>
    <w:rsid w:val="6AA247C7"/>
    <w:rsid w:val="6B01B6C6"/>
    <w:rsid w:val="6BBFD1AD"/>
    <w:rsid w:val="6BEE426C"/>
    <w:rsid w:val="6C7A34FA"/>
    <w:rsid w:val="6CE34A65"/>
    <w:rsid w:val="6CEA9D72"/>
    <w:rsid w:val="6DBAD6FB"/>
    <w:rsid w:val="6E40998C"/>
    <w:rsid w:val="6EC7D1D4"/>
    <w:rsid w:val="6F511A4A"/>
    <w:rsid w:val="6F75B8EA"/>
    <w:rsid w:val="6F89B6A4"/>
    <w:rsid w:val="6FBD3785"/>
    <w:rsid w:val="717317C6"/>
    <w:rsid w:val="71897D5B"/>
    <w:rsid w:val="71A84037"/>
    <w:rsid w:val="71D24861"/>
    <w:rsid w:val="72D6020B"/>
    <w:rsid w:val="73569166"/>
    <w:rsid w:val="75978B0F"/>
    <w:rsid w:val="766F19E0"/>
    <w:rsid w:val="76CA704A"/>
    <w:rsid w:val="76E83746"/>
    <w:rsid w:val="77325CD7"/>
    <w:rsid w:val="77A9732E"/>
    <w:rsid w:val="77AA8509"/>
    <w:rsid w:val="77C0BDD6"/>
    <w:rsid w:val="78619714"/>
    <w:rsid w:val="788A9C22"/>
    <w:rsid w:val="788BA5C0"/>
    <w:rsid w:val="7920AEEC"/>
    <w:rsid w:val="792DAEC9"/>
    <w:rsid w:val="7A0D6F3C"/>
    <w:rsid w:val="7A393FFF"/>
    <w:rsid w:val="7A5BE8FB"/>
    <w:rsid w:val="7A9F53C1"/>
    <w:rsid w:val="7AF63F5A"/>
    <w:rsid w:val="7AFE562B"/>
    <w:rsid w:val="7BF97DA1"/>
    <w:rsid w:val="7C0EBE9D"/>
    <w:rsid w:val="7CAC70CF"/>
    <w:rsid w:val="7DB157BC"/>
    <w:rsid w:val="7DBACA52"/>
    <w:rsid w:val="7DEA7739"/>
    <w:rsid w:val="7DFA0074"/>
    <w:rsid w:val="7F25AC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47C1A"/>
  <w15:docId w15:val="{8BA8FF58-293E-4838-8027-2FC44997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5BC"/>
    <w:rPr>
      <w:rFonts w:ascii="Arial" w:hAnsi="Arial"/>
    </w:rPr>
  </w:style>
  <w:style w:type="paragraph" w:styleId="Ttulo1">
    <w:name w:val="heading 1"/>
    <w:next w:val="Normal"/>
    <w:link w:val="Ttulo1Car"/>
    <w:qFormat/>
    <w:rsid w:val="00FD7F51"/>
    <w:pPr>
      <w:keepNext/>
      <w:keepLines/>
      <w:numPr>
        <w:numId w:val="9"/>
      </w:numPr>
      <w:pBdr>
        <w:top w:val="single" w:sz="6" w:space="4" w:color="auto"/>
      </w:pBdr>
      <w:spacing w:before="480" w:after="240"/>
      <w:outlineLvl w:val="0"/>
    </w:pPr>
    <w:rPr>
      <w:rFonts w:ascii="Arial" w:eastAsiaTheme="majorEastAsia" w:hAnsi="Arial" w:cstheme="majorBidi"/>
      <w:b/>
      <w:bCs/>
      <w:sz w:val="28"/>
      <w:szCs w:val="28"/>
    </w:rPr>
  </w:style>
  <w:style w:type="paragraph" w:styleId="Ttulo2">
    <w:name w:val="heading 2"/>
    <w:basedOn w:val="Normal"/>
    <w:next w:val="Normal"/>
    <w:link w:val="Ttulo2Car"/>
    <w:qFormat/>
    <w:rsid w:val="00191FE2"/>
    <w:pPr>
      <w:jc w:val="both"/>
      <w:outlineLvl w:val="1"/>
    </w:pPr>
    <w:rPr>
      <w:b/>
      <w:u w:val="single"/>
    </w:rPr>
  </w:style>
  <w:style w:type="paragraph" w:styleId="Ttulo3">
    <w:name w:val="heading 3"/>
    <w:basedOn w:val="Normal"/>
    <w:next w:val="Normal"/>
    <w:link w:val="Ttulo3Car"/>
    <w:qFormat/>
    <w:rsid w:val="00C90FAE"/>
    <w:pPr>
      <w:tabs>
        <w:tab w:val="num" w:pos="0"/>
      </w:tabs>
      <w:spacing w:before="240" w:after="120"/>
      <w:jc w:val="both"/>
      <w:outlineLvl w:val="2"/>
    </w:pPr>
    <w:rPr>
      <w:rFonts w:cs="Arial"/>
      <w:bCs/>
      <w:i/>
      <w:iCs/>
      <w:color w:val="000000" w:themeColor="text1"/>
      <w:szCs w:val="24"/>
      <w:u w:val="single"/>
      <w:lang w:val="en-US"/>
    </w:rPr>
  </w:style>
  <w:style w:type="paragraph" w:styleId="Ttulo4">
    <w:name w:val="heading 4"/>
    <w:basedOn w:val="Ttulo3"/>
    <w:next w:val="Normal"/>
    <w:link w:val="Ttulo4Car"/>
    <w:qFormat/>
    <w:rsid w:val="00EE5335"/>
    <w:pPr>
      <w:outlineLvl w:val="3"/>
    </w:pPr>
    <w:rPr>
      <w:u w:val="none"/>
    </w:rPr>
  </w:style>
  <w:style w:type="paragraph" w:styleId="Ttulo5">
    <w:name w:val="heading 5"/>
    <w:basedOn w:val="Ttulo4"/>
    <w:next w:val="Normal"/>
    <w:link w:val="Ttulo5Car"/>
    <w:qFormat/>
    <w:rsid w:val="00FD7F51"/>
    <w:pPr>
      <w:numPr>
        <w:ilvl w:val="4"/>
      </w:numPr>
      <w:pBdr>
        <w:top w:val="single" w:sz="6" w:space="4" w:color="auto"/>
      </w:pBdr>
      <w:tabs>
        <w:tab w:val="num" w:pos="0"/>
      </w:tabs>
      <w:spacing w:before="480" w:after="240"/>
      <w:outlineLvl w:val="4"/>
    </w:pPr>
    <w:rPr>
      <w:b/>
      <w:i w:val="0"/>
      <w:sz w:val="28"/>
      <w:szCs w:val="28"/>
    </w:rPr>
  </w:style>
  <w:style w:type="paragraph" w:styleId="Ttulo6">
    <w:name w:val="heading 6"/>
    <w:basedOn w:val="Ttulo5"/>
    <w:next w:val="Normal"/>
    <w:link w:val="Ttulo6Car"/>
    <w:qFormat/>
    <w:rsid w:val="00FD7F51"/>
    <w:pPr>
      <w:numPr>
        <w:ilvl w:val="5"/>
      </w:numPr>
      <w:pBdr>
        <w:top w:val="none" w:sz="0" w:space="0" w:color="auto"/>
      </w:pBdr>
      <w:tabs>
        <w:tab w:val="num" w:pos="0"/>
      </w:tabs>
      <w:spacing w:before="360" w:after="120"/>
      <w:outlineLvl w:val="5"/>
    </w:pPr>
    <w:rPr>
      <w:iCs w:val="0"/>
      <w:sz w:val="24"/>
      <w:szCs w:val="26"/>
    </w:rPr>
  </w:style>
  <w:style w:type="paragraph" w:styleId="Ttulo7">
    <w:name w:val="heading 7"/>
    <w:basedOn w:val="Ttulo6"/>
    <w:next w:val="Normal"/>
    <w:link w:val="Ttulo7Car"/>
    <w:qFormat/>
    <w:rsid w:val="00FD7F51"/>
    <w:pPr>
      <w:numPr>
        <w:ilvl w:val="6"/>
      </w:numPr>
      <w:tabs>
        <w:tab w:val="num" w:pos="0"/>
      </w:tabs>
      <w:spacing w:before="240"/>
      <w:outlineLvl w:val="6"/>
    </w:pPr>
    <w:rPr>
      <w:b w:val="0"/>
      <w:iCs/>
    </w:rPr>
  </w:style>
  <w:style w:type="paragraph" w:styleId="Ttulo8">
    <w:name w:val="heading 8"/>
    <w:basedOn w:val="Ttulo7"/>
    <w:next w:val="Normal"/>
    <w:link w:val="Ttulo8Car"/>
    <w:qFormat/>
    <w:rsid w:val="00FD7F51"/>
    <w:pPr>
      <w:numPr>
        <w:ilvl w:val="7"/>
      </w:numPr>
      <w:tabs>
        <w:tab w:val="num" w:pos="0"/>
      </w:tabs>
      <w:outlineLvl w:val="7"/>
    </w:pPr>
    <w:rPr>
      <w:i/>
      <w:sz w:val="22"/>
      <w:szCs w:val="24"/>
    </w:rPr>
  </w:style>
  <w:style w:type="paragraph" w:styleId="Ttulo9">
    <w:name w:val="heading 9"/>
    <w:basedOn w:val="Ttulo8"/>
    <w:next w:val="Normal"/>
    <w:link w:val="Ttulo9Car"/>
    <w:qFormat/>
    <w:rsid w:val="00FD7F51"/>
    <w:pPr>
      <w:outlineLvl w:val="8"/>
    </w:pPr>
    <w:rPr>
      <w:b/>
      <w:i w:val="0"/>
      <w:iCs w:val="0"/>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D7F51"/>
    <w:rPr>
      <w:rFonts w:ascii="Arial" w:eastAsiaTheme="majorEastAsia" w:hAnsi="Arial" w:cstheme="majorBidi"/>
      <w:b/>
      <w:bCs/>
      <w:sz w:val="28"/>
      <w:szCs w:val="28"/>
    </w:rPr>
  </w:style>
  <w:style w:type="character" w:customStyle="1" w:styleId="Ttulo2Car">
    <w:name w:val="Título 2 Car"/>
    <w:basedOn w:val="Fuentedeprrafopredeter"/>
    <w:link w:val="Ttulo2"/>
    <w:rsid w:val="00191FE2"/>
    <w:rPr>
      <w:rFonts w:ascii="Arial" w:hAnsi="Arial"/>
      <w:b/>
      <w:u w:val="single"/>
    </w:rPr>
  </w:style>
  <w:style w:type="character" w:customStyle="1" w:styleId="Ttulo3Car">
    <w:name w:val="Título 3 Car"/>
    <w:basedOn w:val="Fuentedeprrafopredeter"/>
    <w:link w:val="Ttulo3"/>
    <w:rsid w:val="00C90FAE"/>
    <w:rPr>
      <w:rFonts w:ascii="Arial" w:hAnsi="Arial" w:cs="Arial"/>
      <w:bCs/>
      <w:i/>
      <w:iCs/>
      <w:color w:val="000000" w:themeColor="text1"/>
      <w:szCs w:val="24"/>
      <w:u w:val="single"/>
      <w:lang w:val="en-US"/>
    </w:rPr>
  </w:style>
  <w:style w:type="character" w:customStyle="1" w:styleId="Ttulo4Car">
    <w:name w:val="Título 4 Car"/>
    <w:basedOn w:val="Fuentedeprrafopredeter"/>
    <w:link w:val="Ttulo4"/>
    <w:rsid w:val="00EE5335"/>
    <w:rPr>
      <w:rFonts w:ascii="Arial" w:hAnsi="Arial" w:cs="Arial"/>
      <w:bCs/>
      <w:i/>
      <w:iCs/>
      <w:color w:val="000000" w:themeColor="text1"/>
      <w:szCs w:val="24"/>
      <w:lang w:val="en-US"/>
    </w:rPr>
  </w:style>
  <w:style w:type="character" w:customStyle="1" w:styleId="Ttulo5Car">
    <w:name w:val="Título 5 Car"/>
    <w:basedOn w:val="Fuentedeprrafopredeter"/>
    <w:link w:val="Ttulo5"/>
    <w:rsid w:val="00FD7F51"/>
    <w:rPr>
      <w:rFonts w:ascii="Arial" w:hAnsi="Arial"/>
      <w:b/>
      <w:iCs/>
      <w:sz w:val="28"/>
      <w:szCs w:val="28"/>
      <w:u w:val="single"/>
    </w:rPr>
  </w:style>
  <w:style w:type="character" w:customStyle="1" w:styleId="Ttulo6Car">
    <w:name w:val="Título 6 Car"/>
    <w:basedOn w:val="Fuentedeprrafopredeter"/>
    <w:link w:val="Ttulo6"/>
    <w:rsid w:val="00FD7F51"/>
    <w:rPr>
      <w:rFonts w:ascii="Arial" w:hAnsi="Arial"/>
      <w:b/>
      <w:sz w:val="24"/>
      <w:szCs w:val="26"/>
      <w:u w:val="single"/>
    </w:rPr>
  </w:style>
  <w:style w:type="character" w:customStyle="1" w:styleId="Ttulo7Car">
    <w:name w:val="Título 7 Car"/>
    <w:basedOn w:val="Fuentedeprrafopredeter"/>
    <w:link w:val="Ttulo7"/>
    <w:rsid w:val="00FD7F51"/>
    <w:rPr>
      <w:rFonts w:ascii="Arial" w:hAnsi="Arial"/>
      <w:iCs/>
      <w:sz w:val="24"/>
      <w:szCs w:val="26"/>
      <w:u w:val="single"/>
      <w:lang w:val="en-US"/>
    </w:rPr>
  </w:style>
  <w:style w:type="character" w:customStyle="1" w:styleId="Ttulo8Car">
    <w:name w:val="Título 8 Car"/>
    <w:basedOn w:val="Fuentedeprrafopredeter"/>
    <w:link w:val="Ttulo8"/>
    <w:rsid w:val="00FD7F51"/>
    <w:rPr>
      <w:rFonts w:ascii="Arial" w:hAnsi="Arial" w:cs="Arial"/>
      <w:i/>
      <w:iCs/>
      <w:szCs w:val="24"/>
      <w:u w:val="single"/>
      <w:lang w:val="en-US"/>
    </w:rPr>
  </w:style>
  <w:style w:type="character" w:customStyle="1" w:styleId="Ttulo9Car">
    <w:name w:val="Título 9 Car"/>
    <w:basedOn w:val="Fuentedeprrafopredeter"/>
    <w:link w:val="Ttulo9"/>
    <w:rsid w:val="00FD7F51"/>
    <w:rPr>
      <w:rFonts w:ascii="Arial" w:hAnsi="Arial" w:cs="Arial"/>
      <w:b/>
      <w:color w:val="404040" w:themeColor="text1" w:themeTint="BF"/>
      <w:szCs w:val="24"/>
      <w:u w:val="single"/>
      <w:lang w:val="en-US"/>
    </w:rPr>
  </w:style>
  <w:style w:type="numbering" w:customStyle="1" w:styleId="DolonHeadings">
    <w:name w:val="Dolon Headings"/>
    <w:uiPriority w:val="99"/>
    <w:rsid w:val="00FD7F51"/>
    <w:pPr>
      <w:numPr>
        <w:numId w:val="2"/>
      </w:numPr>
    </w:pPr>
  </w:style>
  <w:style w:type="paragraph" w:customStyle="1" w:styleId="TableBodyText">
    <w:name w:val="Table Body Text"/>
    <w:basedOn w:val="Textoindependiente"/>
    <w:qFormat/>
    <w:rsid w:val="00FD7F51"/>
    <w:pPr>
      <w:widowControl w:val="0"/>
      <w:spacing w:before="60" w:after="60" w:line="240" w:lineRule="auto"/>
    </w:pPr>
    <w:rPr>
      <w:rFonts w:eastAsia="Times New Roman" w:cs="Times New Roman"/>
      <w:sz w:val="20"/>
      <w:szCs w:val="20"/>
      <w:lang w:eastAsia="en-US"/>
    </w:rPr>
  </w:style>
  <w:style w:type="paragraph" w:customStyle="1" w:styleId="TableHeading">
    <w:name w:val="Table Heading"/>
    <w:qFormat/>
    <w:rsid w:val="00FD7F51"/>
    <w:pPr>
      <w:tabs>
        <w:tab w:val="num" w:pos="432"/>
        <w:tab w:val="num" w:pos="1985"/>
      </w:tabs>
      <w:spacing w:before="80" w:after="120" w:line="240" w:lineRule="auto"/>
    </w:pPr>
    <w:rPr>
      <w:rFonts w:ascii="Arial" w:eastAsia="Arial Unicode MS" w:hAnsi="Arial" w:cs="Times New Roman"/>
      <w:b/>
      <w:sz w:val="20"/>
      <w:szCs w:val="44"/>
      <w:lang w:eastAsia="en-US"/>
    </w:rPr>
  </w:style>
  <w:style w:type="paragraph" w:styleId="Textoindependiente">
    <w:name w:val="Body Text"/>
    <w:basedOn w:val="Normal"/>
    <w:link w:val="TextoindependienteCar"/>
    <w:uiPriority w:val="99"/>
    <w:semiHidden/>
    <w:unhideWhenUsed/>
    <w:rsid w:val="00FD7F51"/>
    <w:pPr>
      <w:spacing w:after="120"/>
    </w:pPr>
  </w:style>
  <w:style w:type="character" w:customStyle="1" w:styleId="TextoindependienteCar">
    <w:name w:val="Texto independiente Car"/>
    <w:basedOn w:val="Fuentedeprrafopredeter"/>
    <w:link w:val="Textoindependiente"/>
    <w:uiPriority w:val="99"/>
    <w:semiHidden/>
    <w:rsid w:val="00FD7F51"/>
    <w:rPr>
      <w:rFonts w:ascii="Arial" w:hAnsi="Arial"/>
    </w:rPr>
  </w:style>
  <w:style w:type="paragraph" w:styleId="Listaconvietas">
    <w:name w:val="List Bullet"/>
    <w:uiPriority w:val="99"/>
    <w:qFormat/>
    <w:rsid w:val="00FD7F51"/>
    <w:pPr>
      <w:numPr>
        <w:numId w:val="4"/>
      </w:numPr>
      <w:spacing w:after="120"/>
      <w:contextualSpacing/>
    </w:pPr>
    <w:rPr>
      <w:rFonts w:ascii="Arial" w:hAnsi="Arial"/>
    </w:rPr>
  </w:style>
  <w:style w:type="paragraph" w:styleId="Listaconvietas2">
    <w:name w:val="List Bullet 2"/>
    <w:basedOn w:val="Listaconvietas"/>
    <w:uiPriority w:val="99"/>
    <w:qFormat/>
    <w:rsid w:val="00FD7F51"/>
    <w:pPr>
      <w:numPr>
        <w:ilvl w:val="1"/>
      </w:numPr>
    </w:pPr>
  </w:style>
  <w:style w:type="paragraph" w:styleId="Listaconvietas3">
    <w:name w:val="List Bullet 3"/>
    <w:basedOn w:val="Lista2"/>
    <w:uiPriority w:val="99"/>
    <w:qFormat/>
    <w:rsid w:val="00FD7F51"/>
    <w:pPr>
      <w:numPr>
        <w:ilvl w:val="2"/>
        <w:numId w:val="4"/>
      </w:numPr>
    </w:pPr>
  </w:style>
  <w:style w:type="paragraph" w:styleId="Listaconvietas4">
    <w:name w:val="List Bullet 4"/>
    <w:basedOn w:val="Listaconvietas3"/>
    <w:uiPriority w:val="99"/>
    <w:qFormat/>
    <w:rsid w:val="00FD7F51"/>
    <w:pPr>
      <w:numPr>
        <w:ilvl w:val="3"/>
      </w:numPr>
      <w:spacing w:after="120"/>
    </w:pPr>
  </w:style>
  <w:style w:type="paragraph" w:styleId="Listaconvietas5">
    <w:name w:val="List Bullet 5"/>
    <w:basedOn w:val="Listaconnmeros4"/>
    <w:uiPriority w:val="99"/>
    <w:rsid w:val="00FD7F51"/>
    <w:pPr>
      <w:numPr>
        <w:ilvl w:val="4"/>
      </w:numPr>
    </w:pPr>
  </w:style>
  <w:style w:type="numbering" w:customStyle="1" w:styleId="Dolonbullets">
    <w:name w:val="Dolon bullets"/>
    <w:uiPriority w:val="99"/>
    <w:rsid w:val="00FD7F51"/>
    <w:pPr>
      <w:numPr>
        <w:numId w:val="3"/>
      </w:numPr>
    </w:pPr>
  </w:style>
  <w:style w:type="paragraph" w:styleId="Listaconnmeros4">
    <w:name w:val="List Number 4"/>
    <w:basedOn w:val="Listaconnmeros3"/>
    <w:uiPriority w:val="99"/>
    <w:qFormat/>
    <w:rsid w:val="00FD7F51"/>
    <w:pPr>
      <w:numPr>
        <w:ilvl w:val="3"/>
      </w:numPr>
    </w:pPr>
  </w:style>
  <w:style w:type="paragraph" w:styleId="Listaconnmeros2">
    <w:name w:val="List Number 2"/>
    <w:basedOn w:val="Listaconnmeros"/>
    <w:uiPriority w:val="99"/>
    <w:qFormat/>
    <w:rsid w:val="00FD7F51"/>
    <w:pPr>
      <w:numPr>
        <w:ilvl w:val="1"/>
        <w:numId w:val="8"/>
      </w:numPr>
    </w:pPr>
  </w:style>
  <w:style w:type="paragraph" w:styleId="Listaconnmeros">
    <w:name w:val="List Number"/>
    <w:basedOn w:val="Normal"/>
    <w:uiPriority w:val="99"/>
    <w:qFormat/>
    <w:rsid w:val="00FD7F51"/>
    <w:pPr>
      <w:numPr>
        <w:numId w:val="1"/>
      </w:numPr>
      <w:spacing w:after="80"/>
      <w:contextualSpacing/>
    </w:pPr>
    <w:rPr>
      <w:rFonts w:eastAsiaTheme="majorEastAsia" w:cstheme="majorBidi"/>
      <w:bCs/>
      <w:szCs w:val="28"/>
    </w:rPr>
  </w:style>
  <w:style w:type="paragraph" w:styleId="Listaconnmeros3">
    <w:name w:val="List Number 3"/>
    <w:basedOn w:val="Listaconnmeros2"/>
    <w:uiPriority w:val="99"/>
    <w:qFormat/>
    <w:rsid w:val="00FD7F51"/>
    <w:pPr>
      <w:numPr>
        <w:ilvl w:val="2"/>
      </w:numPr>
    </w:pPr>
  </w:style>
  <w:style w:type="paragraph" w:styleId="Listaconnmeros5">
    <w:name w:val="List Number 5"/>
    <w:basedOn w:val="Listaconvietas4"/>
    <w:uiPriority w:val="99"/>
    <w:semiHidden/>
    <w:unhideWhenUsed/>
    <w:qFormat/>
    <w:rsid w:val="00FD7F51"/>
    <w:pPr>
      <w:numPr>
        <w:ilvl w:val="5"/>
        <w:numId w:val="8"/>
      </w:numPr>
      <w:tabs>
        <w:tab w:val="num" w:pos="360"/>
      </w:tabs>
    </w:pPr>
  </w:style>
  <w:style w:type="numbering" w:customStyle="1" w:styleId="Dolonlistnumbers">
    <w:name w:val="Dolon list numbers"/>
    <w:uiPriority w:val="99"/>
    <w:rsid w:val="00FD7F51"/>
    <w:pPr>
      <w:numPr>
        <w:numId w:val="5"/>
      </w:numPr>
    </w:pPr>
  </w:style>
  <w:style w:type="paragraph" w:styleId="Encabezado">
    <w:name w:val="header"/>
    <w:basedOn w:val="Normal"/>
    <w:link w:val="EncabezadoCar"/>
    <w:uiPriority w:val="99"/>
    <w:unhideWhenUsed/>
    <w:rsid w:val="00FD7F5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D7F51"/>
    <w:rPr>
      <w:rFonts w:ascii="Arial" w:hAnsi="Arial"/>
    </w:rPr>
  </w:style>
  <w:style w:type="paragraph" w:styleId="Piedepgina">
    <w:name w:val="footer"/>
    <w:basedOn w:val="Normal"/>
    <w:link w:val="PiedepginaCar"/>
    <w:uiPriority w:val="99"/>
    <w:unhideWhenUsed/>
    <w:rsid w:val="00FD7F5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D7F51"/>
    <w:rPr>
      <w:rFonts w:ascii="Arial" w:hAnsi="Arial"/>
    </w:rPr>
  </w:style>
  <w:style w:type="paragraph" w:styleId="Ttulo">
    <w:name w:val="Title"/>
    <w:basedOn w:val="Normal"/>
    <w:next w:val="Normal"/>
    <w:link w:val="TtuloCar"/>
    <w:qFormat/>
    <w:rsid w:val="00FD7F51"/>
    <w:pPr>
      <w:pBdr>
        <w:bottom w:val="single" w:sz="12" w:space="4" w:color="auto"/>
      </w:pBdr>
      <w:spacing w:before="3600" w:after="300" w:line="240" w:lineRule="auto"/>
      <w:contextualSpacing/>
    </w:pPr>
    <w:rPr>
      <w:rFonts w:eastAsiaTheme="majorEastAsia" w:cstheme="majorBidi"/>
      <w:spacing w:val="5"/>
      <w:kern w:val="28"/>
      <w:sz w:val="52"/>
      <w:szCs w:val="52"/>
      <w:lang w:val="en-US"/>
    </w:rPr>
  </w:style>
  <w:style w:type="character" w:customStyle="1" w:styleId="TtuloCar">
    <w:name w:val="Título Car"/>
    <w:basedOn w:val="Fuentedeprrafopredeter"/>
    <w:link w:val="Ttulo"/>
    <w:rsid w:val="00FD7F51"/>
    <w:rPr>
      <w:rFonts w:ascii="Arial" w:eastAsiaTheme="majorEastAsia" w:hAnsi="Arial" w:cstheme="majorBidi"/>
      <w:spacing w:val="5"/>
      <w:kern w:val="28"/>
      <w:sz w:val="52"/>
      <w:szCs w:val="52"/>
      <w:lang w:val="en-US"/>
    </w:rPr>
  </w:style>
  <w:style w:type="paragraph" w:styleId="Subttulo">
    <w:name w:val="Subtitle"/>
    <w:basedOn w:val="Normal"/>
    <w:next w:val="Normal"/>
    <w:link w:val="SubttuloCar"/>
    <w:qFormat/>
    <w:rsid w:val="00FD7F51"/>
    <w:pPr>
      <w:numPr>
        <w:ilvl w:val="1"/>
      </w:numPr>
    </w:pPr>
    <w:rPr>
      <w:rFonts w:eastAsiaTheme="majorEastAsia" w:cstheme="majorBidi"/>
      <w:iCs/>
      <w:spacing w:val="15"/>
      <w:sz w:val="28"/>
      <w:szCs w:val="24"/>
    </w:rPr>
  </w:style>
  <w:style w:type="character" w:customStyle="1" w:styleId="SubttuloCar">
    <w:name w:val="Subtítulo Car"/>
    <w:basedOn w:val="Fuentedeprrafopredeter"/>
    <w:link w:val="Subttulo"/>
    <w:rsid w:val="00FD7F51"/>
    <w:rPr>
      <w:rFonts w:ascii="Arial" w:eastAsiaTheme="majorEastAsia" w:hAnsi="Arial" w:cstheme="majorBidi"/>
      <w:iCs/>
      <w:spacing w:val="15"/>
      <w:sz w:val="28"/>
      <w:szCs w:val="24"/>
    </w:rPr>
  </w:style>
  <w:style w:type="character" w:styleId="nfasissutil">
    <w:name w:val="Subtle Emphasis"/>
    <w:basedOn w:val="Fuentedeprrafopredeter"/>
    <w:uiPriority w:val="19"/>
    <w:qFormat/>
    <w:rsid w:val="00FD7F51"/>
    <w:rPr>
      <w:rFonts w:ascii="Arial" w:hAnsi="Arial"/>
      <w:i w:val="0"/>
      <w:iCs/>
      <w:color w:val="808080" w:themeColor="text1" w:themeTint="7F"/>
      <w:sz w:val="28"/>
    </w:rPr>
  </w:style>
  <w:style w:type="paragraph" w:styleId="Descripcin">
    <w:name w:val="caption"/>
    <w:basedOn w:val="Normal"/>
    <w:next w:val="Normal"/>
    <w:uiPriority w:val="35"/>
    <w:qFormat/>
    <w:rsid w:val="00FD7F51"/>
    <w:pPr>
      <w:keepNext/>
      <w:spacing w:line="240" w:lineRule="auto"/>
    </w:pPr>
    <w:rPr>
      <w:b/>
      <w:bCs/>
      <w:sz w:val="20"/>
      <w:szCs w:val="20"/>
      <w:lang w:val="en-US" w:eastAsia="ja-JP"/>
    </w:rPr>
  </w:style>
  <w:style w:type="table" w:customStyle="1" w:styleId="Dolontable">
    <w:name w:val="Dolon table"/>
    <w:basedOn w:val="Tablanormal"/>
    <w:uiPriority w:val="99"/>
    <w:rsid w:val="00FD7F51"/>
    <w:pPr>
      <w:spacing w:before="60" w:after="60" w:line="240" w:lineRule="auto"/>
    </w:pPr>
    <w:rPr>
      <w:rFonts w:ascii="Arial" w:hAnsi="Arial"/>
      <w:sz w:val="20"/>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top w:w="28" w:type="dxa"/>
        <w:bottom w:w="28" w:type="dxa"/>
      </w:tblCellMar>
    </w:tblPr>
    <w:tcPr>
      <w:shd w:val="clear" w:color="auto" w:fill="auto"/>
    </w:tcPr>
    <w:tblStylePr w:type="firstRow">
      <w:pPr>
        <w:wordWrap/>
        <w:spacing w:beforeLines="25" w:before="25" w:beforeAutospacing="0" w:afterLines="25" w:after="25" w:afterAutospacing="0"/>
      </w:pPr>
      <w:rPr>
        <w:rFonts w:ascii="Arial" w:hAnsi="Arial"/>
        <w:b/>
        <w:sz w:val="20"/>
      </w:rPr>
      <w:tblPr/>
      <w:trPr>
        <w:cantSplit/>
        <w:tblHeader/>
      </w:trPr>
      <w:tcPr>
        <w:tcBorders>
          <w:top w:val="single" w:sz="4" w:space="0" w:color="auto"/>
          <w:bottom w:val="single" w:sz="4" w:space="0" w:color="auto"/>
        </w:tcBorders>
      </w:tcPr>
    </w:tblStylePr>
  </w:style>
  <w:style w:type="character" w:styleId="Referenciaintensa">
    <w:name w:val="Intense Reference"/>
    <w:basedOn w:val="Fuentedeprrafopredeter"/>
    <w:uiPriority w:val="32"/>
    <w:rsid w:val="00FD7F51"/>
    <w:rPr>
      <w:rFonts w:ascii="Arial" w:hAnsi="Arial"/>
      <w:b/>
      <w:bCs/>
      <w:smallCaps/>
      <w:color w:val="auto"/>
      <w:spacing w:val="5"/>
      <w:sz w:val="22"/>
      <w:u w:val="single"/>
    </w:rPr>
  </w:style>
  <w:style w:type="paragraph" w:styleId="TDC1">
    <w:name w:val="toc 1"/>
    <w:basedOn w:val="Normal"/>
    <w:next w:val="Normal"/>
    <w:autoRedefine/>
    <w:uiPriority w:val="39"/>
    <w:unhideWhenUsed/>
    <w:rsid w:val="00FD7F51"/>
    <w:pPr>
      <w:spacing w:after="100"/>
      <w:ind w:left="567" w:hanging="567"/>
    </w:pPr>
    <w:rPr>
      <w:b/>
    </w:rPr>
  </w:style>
  <w:style w:type="paragraph" w:styleId="TDC2">
    <w:name w:val="toc 2"/>
    <w:basedOn w:val="Normal"/>
    <w:next w:val="Normal"/>
    <w:autoRedefine/>
    <w:uiPriority w:val="39"/>
    <w:unhideWhenUsed/>
    <w:rsid w:val="00FD7F51"/>
    <w:pPr>
      <w:spacing w:after="100"/>
      <w:ind w:left="1287" w:hanging="720"/>
    </w:pPr>
  </w:style>
  <w:style w:type="paragraph" w:styleId="TDC3">
    <w:name w:val="toc 3"/>
    <w:basedOn w:val="Normal"/>
    <w:next w:val="Normal"/>
    <w:autoRedefine/>
    <w:uiPriority w:val="39"/>
    <w:unhideWhenUsed/>
    <w:rsid w:val="00FD7F51"/>
    <w:pPr>
      <w:spacing w:after="100"/>
      <w:ind w:left="2024" w:hanging="720"/>
    </w:pPr>
    <w:rPr>
      <w:i/>
    </w:rPr>
  </w:style>
  <w:style w:type="character" w:styleId="Hipervnculo">
    <w:name w:val="Hyperlink"/>
    <w:basedOn w:val="Fuentedeprrafopredeter"/>
    <w:uiPriority w:val="99"/>
    <w:unhideWhenUsed/>
    <w:rsid w:val="00FD7F51"/>
    <w:rPr>
      <w:color w:val="0000FF" w:themeColor="hyperlink"/>
      <w:u w:val="single"/>
    </w:rPr>
  </w:style>
  <w:style w:type="paragraph" w:customStyle="1" w:styleId="Heading1noborder">
    <w:name w:val="Heading 1 no border"/>
    <w:basedOn w:val="Ttulo1"/>
    <w:qFormat/>
    <w:rsid w:val="00C943D3"/>
    <w:pPr>
      <w:pBdr>
        <w:top w:val="none" w:sz="0" w:space="0" w:color="auto"/>
      </w:pBdr>
      <w:spacing w:before="360"/>
    </w:pPr>
    <w:rPr>
      <w:sz w:val="24"/>
      <w:szCs w:val="24"/>
    </w:rPr>
  </w:style>
  <w:style w:type="paragraph" w:customStyle="1" w:styleId="Heading5noborder">
    <w:name w:val="Heading 5 no border"/>
    <w:basedOn w:val="Ttulo5"/>
    <w:qFormat/>
    <w:rsid w:val="00FD7F51"/>
    <w:pPr>
      <w:pBdr>
        <w:top w:val="none" w:sz="0" w:space="0" w:color="auto"/>
      </w:pBdr>
    </w:pPr>
  </w:style>
  <w:style w:type="paragraph" w:styleId="Lista2">
    <w:name w:val="List 2"/>
    <w:basedOn w:val="Normal"/>
    <w:uiPriority w:val="99"/>
    <w:semiHidden/>
    <w:unhideWhenUsed/>
    <w:rsid w:val="00FD7F51"/>
    <w:pPr>
      <w:ind w:left="566" w:hanging="283"/>
      <w:contextualSpacing/>
    </w:pPr>
  </w:style>
  <w:style w:type="paragraph" w:styleId="Textodeglobo">
    <w:name w:val="Balloon Text"/>
    <w:basedOn w:val="Normal"/>
    <w:link w:val="TextodegloboCar"/>
    <w:uiPriority w:val="99"/>
    <w:semiHidden/>
    <w:unhideWhenUsed/>
    <w:rsid w:val="00FD7F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7F51"/>
    <w:rPr>
      <w:rFonts w:ascii="Tahoma" w:hAnsi="Tahoma" w:cs="Tahoma"/>
      <w:sz w:val="16"/>
      <w:szCs w:val="16"/>
    </w:rPr>
  </w:style>
  <w:style w:type="character" w:styleId="Refdecomentario">
    <w:name w:val="annotation reference"/>
    <w:basedOn w:val="Fuentedeprrafopredeter"/>
    <w:uiPriority w:val="99"/>
    <w:semiHidden/>
    <w:unhideWhenUsed/>
    <w:rsid w:val="00AD2478"/>
    <w:rPr>
      <w:sz w:val="16"/>
      <w:szCs w:val="16"/>
    </w:rPr>
  </w:style>
  <w:style w:type="paragraph" w:styleId="Textocomentario">
    <w:name w:val="annotation text"/>
    <w:basedOn w:val="Normal"/>
    <w:link w:val="TextocomentarioCar"/>
    <w:uiPriority w:val="99"/>
    <w:unhideWhenUsed/>
    <w:rsid w:val="00AD2478"/>
    <w:pPr>
      <w:spacing w:line="240" w:lineRule="auto"/>
    </w:pPr>
    <w:rPr>
      <w:sz w:val="20"/>
      <w:szCs w:val="20"/>
    </w:rPr>
  </w:style>
  <w:style w:type="character" w:customStyle="1" w:styleId="TextocomentarioCar">
    <w:name w:val="Texto comentario Car"/>
    <w:basedOn w:val="Fuentedeprrafopredeter"/>
    <w:link w:val="Textocomentario"/>
    <w:uiPriority w:val="99"/>
    <w:rsid w:val="00AD2478"/>
    <w:rPr>
      <w:sz w:val="20"/>
      <w:szCs w:val="20"/>
    </w:rPr>
  </w:style>
  <w:style w:type="paragraph" w:styleId="Asuntodelcomentario">
    <w:name w:val="annotation subject"/>
    <w:basedOn w:val="Textocomentario"/>
    <w:next w:val="Textocomentario"/>
    <w:link w:val="AsuntodelcomentarioCar"/>
    <w:uiPriority w:val="99"/>
    <w:semiHidden/>
    <w:unhideWhenUsed/>
    <w:rsid w:val="00AD2478"/>
    <w:rPr>
      <w:b/>
      <w:bCs/>
    </w:rPr>
  </w:style>
  <w:style w:type="character" w:customStyle="1" w:styleId="AsuntodelcomentarioCar">
    <w:name w:val="Asunto del comentario Car"/>
    <w:basedOn w:val="TextocomentarioCar"/>
    <w:link w:val="Asuntodelcomentario"/>
    <w:uiPriority w:val="99"/>
    <w:semiHidden/>
    <w:rsid w:val="00AD2478"/>
    <w:rPr>
      <w:b/>
      <w:bCs/>
      <w:sz w:val="20"/>
      <w:szCs w:val="20"/>
    </w:rPr>
  </w:style>
  <w:style w:type="paragraph" w:styleId="Prrafodelista">
    <w:name w:val="List Paragraph"/>
    <w:basedOn w:val="Normal"/>
    <w:uiPriority w:val="34"/>
    <w:qFormat/>
    <w:rsid w:val="002A3CCC"/>
    <w:pPr>
      <w:ind w:left="720"/>
      <w:contextualSpacing/>
    </w:pPr>
    <w:rPr>
      <w:rFonts w:eastAsiaTheme="minorHAnsi"/>
      <w:lang w:eastAsia="en-US"/>
    </w:rPr>
  </w:style>
  <w:style w:type="paragraph" w:styleId="Revisin">
    <w:name w:val="Revision"/>
    <w:hidden/>
    <w:uiPriority w:val="99"/>
    <w:semiHidden/>
    <w:rsid w:val="00E96EB0"/>
    <w:pPr>
      <w:spacing w:after="0" w:line="240" w:lineRule="auto"/>
    </w:pPr>
    <w:rPr>
      <w:rFonts w:ascii="Arial" w:hAnsi="Arial"/>
    </w:rPr>
  </w:style>
  <w:style w:type="character" w:styleId="Mencionar">
    <w:name w:val="Mention"/>
    <w:basedOn w:val="Fuentedeprrafopredeter"/>
    <w:uiPriority w:val="99"/>
    <w:unhideWhenUsed/>
    <w:rsid w:val="005B6713"/>
    <w:rPr>
      <w:color w:val="2B579A"/>
      <w:shd w:val="clear" w:color="auto" w:fill="E1DFDD"/>
    </w:rPr>
  </w:style>
  <w:style w:type="table" w:styleId="Tablaconcuadrcula">
    <w:name w:val="Table Grid"/>
    <w:basedOn w:val="Tablanormal"/>
    <w:uiPriority w:val="59"/>
    <w:rsid w:val="007D4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C45BD"/>
    <w:rPr>
      <w:color w:val="605E5C"/>
      <w:shd w:val="clear" w:color="auto" w:fill="E1DFDD"/>
    </w:rPr>
  </w:style>
  <w:style w:type="paragraph" w:styleId="Textonotapie">
    <w:name w:val="footnote text"/>
    <w:basedOn w:val="Normal"/>
    <w:link w:val="TextonotapieCar"/>
    <w:uiPriority w:val="99"/>
    <w:unhideWhenUsed/>
    <w:rsid w:val="00460441"/>
    <w:pPr>
      <w:spacing w:after="0" w:line="240" w:lineRule="auto"/>
    </w:pPr>
    <w:rPr>
      <w:sz w:val="20"/>
      <w:szCs w:val="20"/>
    </w:rPr>
  </w:style>
  <w:style w:type="character" w:customStyle="1" w:styleId="TextonotapieCar">
    <w:name w:val="Texto nota pie Car"/>
    <w:basedOn w:val="Fuentedeprrafopredeter"/>
    <w:link w:val="Textonotapie"/>
    <w:uiPriority w:val="99"/>
    <w:rsid w:val="00460441"/>
    <w:rPr>
      <w:rFonts w:ascii="Arial" w:hAnsi="Arial"/>
      <w:sz w:val="20"/>
      <w:szCs w:val="20"/>
    </w:rPr>
  </w:style>
  <w:style w:type="character" w:styleId="Refdenotaalpie">
    <w:name w:val="footnote reference"/>
    <w:basedOn w:val="Fuentedeprrafopredeter"/>
    <w:uiPriority w:val="99"/>
    <w:semiHidden/>
    <w:unhideWhenUsed/>
    <w:rsid w:val="00460441"/>
    <w:rPr>
      <w:vertAlign w:val="superscript"/>
    </w:rPr>
  </w:style>
  <w:style w:type="paragraph" w:styleId="NormalWeb">
    <w:name w:val="Normal (Web)"/>
    <w:basedOn w:val="Normal"/>
    <w:uiPriority w:val="99"/>
    <w:semiHidden/>
    <w:unhideWhenUsed/>
    <w:rsid w:val="006A384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E164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3698">
      <w:bodyDiv w:val="1"/>
      <w:marLeft w:val="0"/>
      <w:marRight w:val="0"/>
      <w:marTop w:val="0"/>
      <w:marBottom w:val="0"/>
      <w:divBdr>
        <w:top w:val="none" w:sz="0" w:space="0" w:color="auto"/>
        <w:left w:val="none" w:sz="0" w:space="0" w:color="auto"/>
        <w:bottom w:val="none" w:sz="0" w:space="0" w:color="auto"/>
        <w:right w:val="none" w:sz="0" w:space="0" w:color="auto"/>
      </w:divBdr>
    </w:div>
    <w:div w:id="176235369">
      <w:bodyDiv w:val="1"/>
      <w:marLeft w:val="0"/>
      <w:marRight w:val="0"/>
      <w:marTop w:val="0"/>
      <w:marBottom w:val="0"/>
      <w:divBdr>
        <w:top w:val="none" w:sz="0" w:space="0" w:color="auto"/>
        <w:left w:val="none" w:sz="0" w:space="0" w:color="auto"/>
        <w:bottom w:val="none" w:sz="0" w:space="0" w:color="auto"/>
        <w:right w:val="none" w:sz="0" w:space="0" w:color="auto"/>
      </w:divBdr>
    </w:div>
    <w:div w:id="228807398">
      <w:bodyDiv w:val="1"/>
      <w:marLeft w:val="0"/>
      <w:marRight w:val="0"/>
      <w:marTop w:val="1"/>
      <w:marBottom w:val="1"/>
      <w:divBdr>
        <w:top w:val="none" w:sz="0" w:space="0" w:color="auto"/>
        <w:left w:val="none" w:sz="0" w:space="0" w:color="auto"/>
        <w:bottom w:val="none" w:sz="0" w:space="0" w:color="auto"/>
        <w:right w:val="none" w:sz="0" w:space="0" w:color="auto"/>
      </w:divBdr>
      <w:divsChild>
        <w:div w:id="964889741">
          <w:marLeft w:val="0"/>
          <w:marRight w:val="0"/>
          <w:marTop w:val="0"/>
          <w:marBottom w:val="0"/>
          <w:divBdr>
            <w:top w:val="none" w:sz="0" w:space="0" w:color="auto"/>
            <w:left w:val="none" w:sz="0" w:space="0" w:color="auto"/>
            <w:bottom w:val="none" w:sz="0" w:space="0" w:color="auto"/>
            <w:right w:val="none" w:sz="0" w:space="0" w:color="auto"/>
          </w:divBdr>
          <w:divsChild>
            <w:div w:id="1743520663">
              <w:marLeft w:val="0"/>
              <w:marRight w:val="0"/>
              <w:marTop w:val="0"/>
              <w:marBottom w:val="0"/>
              <w:divBdr>
                <w:top w:val="none" w:sz="0" w:space="0" w:color="auto"/>
                <w:left w:val="none" w:sz="0" w:space="0" w:color="auto"/>
                <w:bottom w:val="none" w:sz="0" w:space="0" w:color="auto"/>
                <w:right w:val="none" w:sz="0" w:space="0" w:color="auto"/>
              </w:divBdr>
              <w:divsChild>
                <w:div w:id="114473502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340933194">
      <w:bodyDiv w:val="1"/>
      <w:marLeft w:val="0"/>
      <w:marRight w:val="0"/>
      <w:marTop w:val="0"/>
      <w:marBottom w:val="0"/>
      <w:divBdr>
        <w:top w:val="none" w:sz="0" w:space="0" w:color="auto"/>
        <w:left w:val="none" w:sz="0" w:space="0" w:color="auto"/>
        <w:bottom w:val="none" w:sz="0" w:space="0" w:color="auto"/>
        <w:right w:val="none" w:sz="0" w:space="0" w:color="auto"/>
      </w:divBdr>
    </w:div>
    <w:div w:id="381752119">
      <w:bodyDiv w:val="1"/>
      <w:marLeft w:val="0"/>
      <w:marRight w:val="0"/>
      <w:marTop w:val="0"/>
      <w:marBottom w:val="0"/>
      <w:divBdr>
        <w:top w:val="none" w:sz="0" w:space="0" w:color="auto"/>
        <w:left w:val="none" w:sz="0" w:space="0" w:color="auto"/>
        <w:bottom w:val="none" w:sz="0" w:space="0" w:color="auto"/>
        <w:right w:val="none" w:sz="0" w:space="0" w:color="auto"/>
      </w:divBdr>
    </w:div>
    <w:div w:id="417558692">
      <w:bodyDiv w:val="1"/>
      <w:marLeft w:val="0"/>
      <w:marRight w:val="0"/>
      <w:marTop w:val="0"/>
      <w:marBottom w:val="0"/>
      <w:divBdr>
        <w:top w:val="none" w:sz="0" w:space="0" w:color="auto"/>
        <w:left w:val="none" w:sz="0" w:space="0" w:color="auto"/>
        <w:bottom w:val="none" w:sz="0" w:space="0" w:color="auto"/>
        <w:right w:val="none" w:sz="0" w:space="0" w:color="auto"/>
      </w:divBdr>
      <w:divsChild>
        <w:div w:id="923996569">
          <w:marLeft w:val="173"/>
          <w:marRight w:val="0"/>
          <w:marTop w:val="0"/>
          <w:marBottom w:val="60"/>
          <w:divBdr>
            <w:top w:val="none" w:sz="0" w:space="0" w:color="auto"/>
            <w:left w:val="none" w:sz="0" w:space="0" w:color="auto"/>
            <w:bottom w:val="none" w:sz="0" w:space="0" w:color="auto"/>
            <w:right w:val="none" w:sz="0" w:space="0" w:color="auto"/>
          </w:divBdr>
        </w:div>
        <w:div w:id="1373574031">
          <w:marLeft w:val="274"/>
          <w:marRight w:val="0"/>
          <w:marTop w:val="0"/>
          <w:marBottom w:val="0"/>
          <w:divBdr>
            <w:top w:val="none" w:sz="0" w:space="0" w:color="auto"/>
            <w:left w:val="none" w:sz="0" w:space="0" w:color="auto"/>
            <w:bottom w:val="none" w:sz="0" w:space="0" w:color="auto"/>
            <w:right w:val="none" w:sz="0" w:space="0" w:color="auto"/>
          </w:divBdr>
        </w:div>
        <w:div w:id="1698890685">
          <w:marLeft w:val="274"/>
          <w:marRight w:val="0"/>
          <w:marTop w:val="0"/>
          <w:marBottom w:val="0"/>
          <w:divBdr>
            <w:top w:val="none" w:sz="0" w:space="0" w:color="auto"/>
            <w:left w:val="none" w:sz="0" w:space="0" w:color="auto"/>
            <w:bottom w:val="none" w:sz="0" w:space="0" w:color="auto"/>
            <w:right w:val="none" w:sz="0" w:space="0" w:color="auto"/>
          </w:divBdr>
        </w:div>
        <w:div w:id="1232077184">
          <w:marLeft w:val="173"/>
          <w:marRight w:val="0"/>
          <w:marTop w:val="0"/>
          <w:marBottom w:val="60"/>
          <w:divBdr>
            <w:top w:val="none" w:sz="0" w:space="0" w:color="auto"/>
            <w:left w:val="none" w:sz="0" w:space="0" w:color="auto"/>
            <w:bottom w:val="none" w:sz="0" w:space="0" w:color="auto"/>
            <w:right w:val="none" w:sz="0" w:space="0" w:color="auto"/>
          </w:divBdr>
        </w:div>
        <w:div w:id="452017808">
          <w:marLeft w:val="274"/>
          <w:marRight w:val="0"/>
          <w:marTop w:val="0"/>
          <w:marBottom w:val="0"/>
          <w:divBdr>
            <w:top w:val="none" w:sz="0" w:space="0" w:color="auto"/>
            <w:left w:val="none" w:sz="0" w:space="0" w:color="auto"/>
            <w:bottom w:val="none" w:sz="0" w:space="0" w:color="auto"/>
            <w:right w:val="none" w:sz="0" w:space="0" w:color="auto"/>
          </w:divBdr>
        </w:div>
        <w:div w:id="1826701114">
          <w:marLeft w:val="274"/>
          <w:marRight w:val="0"/>
          <w:marTop w:val="0"/>
          <w:marBottom w:val="0"/>
          <w:divBdr>
            <w:top w:val="none" w:sz="0" w:space="0" w:color="auto"/>
            <w:left w:val="none" w:sz="0" w:space="0" w:color="auto"/>
            <w:bottom w:val="none" w:sz="0" w:space="0" w:color="auto"/>
            <w:right w:val="none" w:sz="0" w:space="0" w:color="auto"/>
          </w:divBdr>
        </w:div>
        <w:div w:id="830751184">
          <w:marLeft w:val="274"/>
          <w:marRight w:val="0"/>
          <w:marTop w:val="0"/>
          <w:marBottom w:val="0"/>
          <w:divBdr>
            <w:top w:val="none" w:sz="0" w:space="0" w:color="auto"/>
            <w:left w:val="none" w:sz="0" w:space="0" w:color="auto"/>
            <w:bottom w:val="none" w:sz="0" w:space="0" w:color="auto"/>
            <w:right w:val="none" w:sz="0" w:space="0" w:color="auto"/>
          </w:divBdr>
        </w:div>
        <w:div w:id="135493037">
          <w:marLeft w:val="173"/>
          <w:marRight w:val="0"/>
          <w:marTop w:val="0"/>
          <w:marBottom w:val="60"/>
          <w:divBdr>
            <w:top w:val="none" w:sz="0" w:space="0" w:color="auto"/>
            <w:left w:val="none" w:sz="0" w:space="0" w:color="auto"/>
            <w:bottom w:val="none" w:sz="0" w:space="0" w:color="auto"/>
            <w:right w:val="none" w:sz="0" w:space="0" w:color="auto"/>
          </w:divBdr>
        </w:div>
        <w:div w:id="592590891">
          <w:marLeft w:val="173"/>
          <w:marRight w:val="0"/>
          <w:marTop w:val="0"/>
          <w:marBottom w:val="60"/>
          <w:divBdr>
            <w:top w:val="none" w:sz="0" w:space="0" w:color="auto"/>
            <w:left w:val="none" w:sz="0" w:space="0" w:color="auto"/>
            <w:bottom w:val="none" w:sz="0" w:space="0" w:color="auto"/>
            <w:right w:val="none" w:sz="0" w:space="0" w:color="auto"/>
          </w:divBdr>
        </w:div>
        <w:div w:id="995499214">
          <w:marLeft w:val="274"/>
          <w:marRight w:val="0"/>
          <w:marTop w:val="0"/>
          <w:marBottom w:val="0"/>
          <w:divBdr>
            <w:top w:val="none" w:sz="0" w:space="0" w:color="auto"/>
            <w:left w:val="none" w:sz="0" w:space="0" w:color="auto"/>
            <w:bottom w:val="none" w:sz="0" w:space="0" w:color="auto"/>
            <w:right w:val="none" w:sz="0" w:space="0" w:color="auto"/>
          </w:divBdr>
        </w:div>
        <w:div w:id="1529221918">
          <w:marLeft w:val="274"/>
          <w:marRight w:val="0"/>
          <w:marTop w:val="0"/>
          <w:marBottom w:val="0"/>
          <w:divBdr>
            <w:top w:val="none" w:sz="0" w:space="0" w:color="auto"/>
            <w:left w:val="none" w:sz="0" w:space="0" w:color="auto"/>
            <w:bottom w:val="none" w:sz="0" w:space="0" w:color="auto"/>
            <w:right w:val="none" w:sz="0" w:space="0" w:color="auto"/>
          </w:divBdr>
        </w:div>
        <w:div w:id="1699312115">
          <w:marLeft w:val="274"/>
          <w:marRight w:val="0"/>
          <w:marTop w:val="0"/>
          <w:marBottom w:val="0"/>
          <w:divBdr>
            <w:top w:val="none" w:sz="0" w:space="0" w:color="auto"/>
            <w:left w:val="none" w:sz="0" w:space="0" w:color="auto"/>
            <w:bottom w:val="none" w:sz="0" w:space="0" w:color="auto"/>
            <w:right w:val="none" w:sz="0" w:space="0" w:color="auto"/>
          </w:divBdr>
        </w:div>
        <w:div w:id="609967671">
          <w:marLeft w:val="173"/>
          <w:marRight w:val="0"/>
          <w:marTop w:val="0"/>
          <w:marBottom w:val="60"/>
          <w:divBdr>
            <w:top w:val="none" w:sz="0" w:space="0" w:color="auto"/>
            <w:left w:val="none" w:sz="0" w:space="0" w:color="auto"/>
            <w:bottom w:val="none" w:sz="0" w:space="0" w:color="auto"/>
            <w:right w:val="none" w:sz="0" w:space="0" w:color="auto"/>
          </w:divBdr>
        </w:div>
        <w:div w:id="1105155599">
          <w:marLeft w:val="274"/>
          <w:marRight w:val="0"/>
          <w:marTop w:val="0"/>
          <w:marBottom w:val="0"/>
          <w:divBdr>
            <w:top w:val="none" w:sz="0" w:space="0" w:color="auto"/>
            <w:left w:val="none" w:sz="0" w:space="0" w:color="auto"/>
            <w:bottom w:val="none" w:sz="0" w:space="0" w:color="auto"/>
            <w:right w:val="none" w:sz="0" w:space="0" w:color="auto"/>
          </w:divBdr>
        </w:div>
        <w:div w:id="1727489325">
          <w:marLeft w:val="274"/>
          <w:marRight w:val="0"/>
          <w:marTop w:val="0"/>
          <w:marBottom w:val="0"/>
          <w:divBdr>
            <w:top w:val="none" w:sz="0" w:space="0" w:color="auto"/>
            <w:left w:val="none" w:sz="0" w:space="0" w:color="auto"/>
            <w:bottom w:val="none" w:sz="0" w:space="0" w:color="auto"/>
            <w:right w:val="none" w:sz="0" w:space="0" w:color="auto"/>
          </w:divBdr>
        </w:div>
        <w:div w:id="955481467">
          <w:marLeft w:val="173"/>
          <w:marRight w:val="0"/>
          <w:marTop w:val="0"/>
          <w:marBottom w:val="60"/>
          <w:divBdr>
            <w:top w:val="none" w:sz="0" w:space="0" w:color="auto"/>
            <w:left w:val="none" w:sz="0" w:space="0" w:color="auto"/>
            <w:bottom w:val="none" w:sz="0" w:space="0" w:color="auto"/>
            <w:right w:val="none" w:sz="0" w:space="0" w:color="auto"/>
          </w:divBdr>
        </w:div>
        <w:div w:id="1219897010">
          <w:marLeft w:val="173"/>
          <w:marRight w:val="0"/>
          <w:marTop w:val="0"/>
          <w:marBottom w:val="60"/>
          <w:divBdr>
            <w:top w:val="none" w:sz="0" w:space="0" w:color="auto"/>
            <w:left w:val="none" w:sz="0" w:space="0" w:color="auto"/>
            <w:bottom w:val="none" w:sz="0" w:space="0" w:color="auto"/>
            <w:right w:val="none" w:sz="0" w:space="0" w:color="auto"/>
          </w:divBdr>
        </w:div>
        <w:div w:id="2045014801">
          <w:marLeft w:val="173"/>
          <w:marRight w:val="0"/>
          <w:marTop w:val="0"/>
          <w:marBottom w:val="60"/>
          <w:divBdr>
            <w:top w:val="none" w:sz="0" w:space="0" w:color="auto"/>
            <w:left w:val="none" w:sz="0" w:space="0" w:color="auto"/>
            <w:bottom w:val="none" w:sz="0" w:space="0" w:color="auto"/>
            <w:right w:val="none" w:sz="0" w:space="0" w:color="auto"/>
          </w:divBdr>
        </w:div>
        <w:div w:id="821779728">
          <w:marLeft w:val="274"/>
          <w:marRight w:val="0"/>
          <w:marTop w:val="0"/>
          <w:marBottom w:val="0"/>
          <w:divBdr>
            <w:top w:val="none" w:sz="0" w:space="0" w:color="auto"/>
            <w:left w:val="none" w:sz="0" w:space="0" w:color="auto"/>
            <w:bottom w:val="none" w:sz="0" w:space="0" w:color="auto"/>
            <w:right w:val="none" w:sz="0" w:space="0" w:color="auto"/>
          </w:divBdr>
        </w:div>
        <w:div w:id="721097504">
          <w:marLeft w:val="274"/>
          <w:marRight w:val="0"/>
          <w:marTop w:val="0"/>
          <w:marBottom w:val="0"/>
          <w:divBdr>
            <w:top w:val="none" w:sz="0" w:space="0" w:color="auto"/>
            <w:left w:val="none" w:sz="0" w:space="0" w:color="auto"/>
            <w:bottom w:val="none" w:sz="0" w:space="0" w:color="auto"/>
            <w:right w:val="none" w:sz="0" w:space="0" w:color="auto"/>
          </w:divBdr>
        </w:div>
        <w:div w:id="943926492">
          <w:marLeft w:val="274"/>
          <w:marRight w:val="0"/>
          <w:marTop w:val="0"/>
          <w:marBottom w:val="60"/>
          <w:divBdr>
            <w:top w:val="none" w:sz="0" w:space="0" w:color="auto"/>
            <w:left w:val="none" w:sz="0" w:space="0" w:color="auto"/>
            <w:bottom w:val="none" w:sz="0" w:space="0" w:color="auto"/>
            <w:right w:val="none" w:sz="0" w:space="0" w:color="auto"/>
          </w:divBdr>
        </w:div>
        <w:div w:id="2022312674">
          <w:marLeft w:val="274"/>
          <w:marRight w:val="0"/>
          <w:marTop w:val="0"/>
          <w:marBottom w:val="0"/>
          <w:divBdr>
            <w:top w:val="none" w:sz="0" w:space="0" w:color="auto"/>
            <w:left w:val="none" w:sz="0" w:space="0" w:color="auto"/>
            <w:bottom w:val="none" w:sz="0" w:space="0" w:color="auto"/>
            <w:right w:val="none" w:sz="0" w:space="0" w:color="auto"/>
          </w:divBdr>
        </w:div>
        <w:div w:id="1064259891">
          <w:marLeft w:val="173"/>
          <w:marRight w:val="0"/>
          <w:marTop w:val="0"/>
          <w:marBottom w:val="60"/>
          <w:divBdr>
            <w:top w:val="none" w:sz="0" w:space="0" w:color="auto"/>
            <w:left w:val="none" w:sz="0" w:space="0" w:color="auto"/>
            <w:bottom w:val="none" w:sz="0" w:space="0" w:color="auto"/>
            <w:right w:val="none" w:sz="0" w:space="0" w:color="auto"/>
          </w:divBdr>
        </w:div>
        <w:div w:id="1680157255">
          <w:marLeft w:val="274"/>
          <w:marRight w:val="0"/>
          <w:marTop w:val="0"/>
          <w:marBottom w:val="0"/>
          <w:divBdr>
            <w:top w:val="none" w:sz="0" w:space="0" w:color="auto"/>
            <w:left w:val="none" w:sz="0" w:space="0" w:color="auto"/>
            <w:bottom w:val="none" w:sz="0" w:space="0" w:color="auto"/>
            <w:right w:val="none" w:sz="0" w:space="0" w:color="auto"/>
          </w:divBdr>
        </w:div>
      </w:divsChild>
    </w:div>
    <w:div w:id="548690684">
      <w:bodyDiv w:val="1"/>
      <w:marLeft w:val="0"/>
      <w:marRight w:val="0"/>
      <w:marTop w:val="0"/>
      <w:marBottom w:val="0"/>
      <w:divBdr>
        <w:top w:val="none" w:sz="0" w:space="0" w:color="auto"/>
        <w:left w:val="none" w:sz="0" w:space="0" w:color="auto"/>
        <w:bottom w:val="none" w:sz="0" w:space="0" w:color="auto"/>
        <w:right w:val="none" w:sz="0" w:space="0" w:color="auto"/>
      </w:divBdr>
    </w:div>
    <w:div w:id="630327068">
      <w:bodyDiv w:val="1"/>
      <w:marLeft w:val="0"/>
      <w:marRight w:val="0"/>
      <w:marTop w:val="0"/>
      <w:marBottom w:val="0"/>
      <w:divBdr>
        <w:top w:val="none" w:sz="0" w:space="0" w:color="auto"/>
        <w:left w:val="none" w:sz="0" w:space="0" w:color="auto"/>
        <w:bottom w:val="none" w:sz="0" w:space="0" w:color="auto"/>
        <w:right w:val="none" w:sz="0" w:space="0" w:color="auto"/>
      </w:divBdr>
    </w:div>
    <w:div w:id="706636708">
      <w:bodyDiv w:val="1"/>
      <w:marLeft w:val="0"/>
      <w:marRight w:val="0"/>
      <w:marTop w:val="0"/>
      <w:marBottom w:val="0"/>
      <w:divBdr>
        <w:top w:val="none" w:sz="0" w:space="0" w:color="auto"/>
        <w:left w:val="none" w:sz="0" w:space="0" w:color="auto"/>
        <w:bottom w:val="none" w:sz="0" w:space="0" w:color="auto"/>
        <w:right w:val="none" w:sz="0" w:space="0" w:color="auto"/>
      </w:divBdr>
    </w:div>
    <w:div w:id="719138037">
      <w:bodyDiv w:val="1"/>
      <w:marLeft w:val="0"/>
      <w:marRight w:val="0"/>
      <w:marTop w:val="0"/>
      <w:marBottom w:val="0"/>
      <w:divBdr>
        <w:top w:val="none" w:sz="0" w:space="0" w:color="auto"/>
        <w:left w:val="none" w:sz="0" w:space="0" w:color="auto"/>
        <w:bottom w:val="none" w:sz="0" w:space="0" w:color="auto"/>
        <w:right w:val="none" w:sz="0" w:space="0" w:color="auto"/>
      </w:divBdr>
      <w:divsChild>
        <w:div w:id="1499493886">
          <w:marLeft w:val="1123"/>
          <w:marRight w:val="0"/>
          <w:marTop w:val="60"/>
          <w:marBottom w:val="60"/>
          <w:divBdr>
            <w:top w:val="none" w:sz="0" w:space="0" w:color="auto"/>
            <w:left w:val="none" w:sz="0" w:space="0" w:color="auto"/>
            <w:bottom w:val="none" w:sz="0" w:space="0" w:color="auto"/>
            <w:right w:val="none" w:sz="0" w:space="0" w:color="auto"/>
          </w:divBdr>
        </w:div>
      </w:divsChild>
    </w:div>
    <w:div w:id="795299420">
      <w:bodyDiv w:val="1"/>
      <w:marLeft w:val="0"/>
      <w:marRight w:val="0"/>
      <w:marTop w:val="0"/>
      <w:marBottom w:val="0"/>
      <w:divBdr>
        <w:top w:val="none" w:sz="0" w:space="0" w:color="auto"/>
        <w:left w:val="none" w:sz="0" w:space="0" w:color="auto"/>
        <w:bottom w:val="none" w:sz="0" w:space="0" w:color="auto"/>
        <w:right w:val="none" w:sz="0" w:space="0" w:color="auto"/>
      </w:divBdr>
    </w:div>
    <w:div w:id="1169713649">
      <w:bodyDiv w:val="1"/>
      <w:marLeft w:val="0"/>
      <w:marRight w:val="0"/>
      <w:marTop w:val="0"/>
      <w:marBottom w:val="0"/>
      <w:divBdr>
        <w:top w:val="none" w:sz="0" w:space="0" w:color="auto"/>
        <w:left w:val="none" w:sz="0" w:space="0" w:color="auto"/>
        <w:bottom w:val="none" w:sz="0" w:space="0" w:color="auto"/>
        <w:right w:val="none" w:sz="0" w:space="0" w:color="auto"/>
      </w:divBdr>
    </w:div>
    <w:div w:id="1898084726">
      <w:bodyDiv w:val="1"/>
      <w:marLeft w:val="0"/>
      <w:marRight w:val="0"/>
      <w:marTop w:val="0"/>
      <w:marBottom w:val="0"/>
      <w:divBdr>
        <w:top w:val="none" w:sz="0" w:space="0" w:color="auto"/>
        <w:left w:val="none" w:sz="0" w:space="0" w:color="auto"/>
        <w:bottom w:val="none" w:sz="0" w:space="0" w:color="auto"/>
        <w:right w:val="none" w:sz="0" w:space="0" w:color="auto"/>
      </w:divBdr>
    </w:div>
    <w:div w:id="2026596614">
      <w:bodyDiv w:val="1"/>
      <w:marLeft w:val="0"/>
      <w:marRight w:val="0"/>
      <w:marTop w:val="0"/>
      <w:marBottom w:val="0"/>
      <w:divBdr>
        <w:top w:val="none" w:sz="0" w:space="0" w:color="auto"/>
        <w:left w:val="none" w:sz="0" w:space="0" w:color="auto"/>
        <w:bottom w:val="none" w:sz="0" w:space="0" w:color="auto"/>
        <w:right w:val="none" w:sz="0" w:space="0" w:color="auto"/>
      </w:divBdr>
    </w:div>
    <w:div w:id="2077587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6" Type="http://schemas.openxmlformats.org/officeDocument/2006/relationships/hyperlink" Target="https://health.ec.europa.eu/system/files/2023-04/swd_2023_192_1_ia_en.pdf" TargetMode="External"/><Relationship Id="rId21" Type="http://schemas.openxmlformats.org/officeDocument/2006/relationships/hyperlink" Target="https://dolon.com/wp-content/uploads/2023/09/Impact-of-changes-to-Orphan-Regulation-Dolon-Report.pdf?x83136" TargetMode="External"/><Relationship Id="rId34" Type="http://schemas.openxmlformats.org/officeDocument/2006/relationships/hyperlink" Target="https://ec.europa.eu/eurostat/databrowser/view/DEMO_GIND/default/table?lang=en" TargetMode="External"/><Relationship Id="rId42" Type="http://schemas.openxmlformats.org/officeDocument/2006/relationships/hyperlink" Target="https://www.ncbi.nlm.nih.gov/pmc/articles/PMC6409418/" TargetMode="External"/><Relationship Id="rId47" Type="http://schemas.openxmlformats.org/officeDocument/2006/relationships/hyperlink" Target="https://jamanetwork.com/journals/jama/fullarticle/2762311" TargetMode="External"/><Relationship Id="rId50" Type="http://schemas.openxmlformats.org/officeDocument/2006/relationships/hyperlink" Target="https://www.tlv.se/download/18.9e9341817f9775950bd276/1647586496454/international_price_comparison_2021_107-2022.pdf" TargetMode="External"/><Relationship Id="rId55" Type="http://schemas.openxmlformats.org/officeDocument/2006/relationships/hyperlink" Target="https://echa.europa.eu/documents/10162/21877836/efsa-echa-position-paper-osoa_en.pdf/74b1ae31-290b-a608-85e9-05b340840b34" TargetMode="External"/><Relationship Id="rId63" Type="http://schemas.openxmlformats.org/officeDocument/2006/relationships/hyperlink" Target="https://ec.europa.eu/commission/presscorner/detail/en/qanda_22_6279" TargetMode="External"/><Relationship Id="rId7" Type="http://schemas.openxmlformats.org/officeDocument/2006/relationships/hyperlink" Target="https://dolon.com/dolon/wp-content/uploads/2020/10/Estimated-impact-of-EU-Orphan-Regulation-on-incentives-for-innovation.pdf" TargetMode="External"/><Relationship Id="rId2" Type="http://schemas.openxmlformats.org/officeDocument/2006/relationships/hyperlink" Target="https://health.ec.europa.eu/medicinal-products/pharmaceutical-strategy-europe/reform-eu-pharmaceutical-legislation_en" TargetMode="External"/><Relationship Id="rId16" Type="http://schemas.openxmlformats.org/officeDocument/2006/relationships/hyperlink" Target="https://www.iqvia.com/insights/the-iqvia-institute/reports/protection-expiry-and-journey-into-the-market" TargetMode="External"/><Relationship Id="rId29" Type="http://schemas.openxmlformats.org/officeDocument/2006/relationships/hyperlink" Target="https://www.efpia.eu/media/rm4kzdlx/the-pharmaceutical-industry-in-figures-2023.pdf" TargetMode="External"/><Relationship Id="rId11" Type="http://schemas.openxmlformats.org/officeDocument/2006/relationships/hyperlink" Target="https://dolon.com/dolon/wp-content/uploads/2020/10/Estimated-impact-of-EU-Orphan-Regulation-on-incentives-for-innovation.pdf" TargetMode="External"/><Relationship Id="rId24" Type="http://schemas.openxmlformats.org/officeDocument/2006/relationships/hyperlink" Target="https://www.efpia.eu/media/636830/addressing-patient-access-inequalities-in-europe.pdf" TargetMode="External"/><Relationship Id="rId32" Type="http://schemas.openxmlformats.org/officeDocument/2006/relationships/hyperlink" Target="https://www.efpia.eu/media/52ipvgfi/annex-1-efpia_sea_pfas_final.pdf" TargetMode="External"/><Relationship Id="rId37" Type="http://schemas.openxmlformats.org/officeDocument/2006/relationships/hyperlink" Target="https://dolon.com/dolon/wp-content/uploads/2020/10/Estimated-impact-of-EU-Orphan-Regulation-on-incentives-for-innovation.pdf" TargetMode="External"/><Relationship Id="rId40" Type="http://schemas.openxmlformats.org/officeDocument/2006/relationships/hyperlink" Target="https://jamanetwork.com/journals/jama/fullarticle/2762311" TargetMode="External"/><Relationship Id="rId45" Type="http://schemas.openxmlformats.org/officeDocument/2006/relationships/hyperlink" Target="https://dolon.com/dolon/wp-content/uploads/2020/10/Estimated-impact-of-EU-Orphan-Regulation-on-incentives-for-innovation.pdf" TargetMode="External"/><Relationship Id="rId53" Type="http://schemas.openxmlformats.org/officeDocument/2006/relationships/hyperlink" Target="https://jamanetwork.com/journals/jama/fullarticle/2762311" TargetMode="External"/><Relationship Id="rId58" Type="http://schemas.openxmlformats.org/officeDocument/2006/relationships/hyperlink" Target="https://echa.europa.eu/regulations/clp/understanding-clp" TargetMode="External"/><Relationship Id="rId66" Type="http://schemas.openxmlformats.org/officeDocument/2006/relationships/hyperlink" Target="https://www.ema.europa.eu/en/human-regulatory/research-development/ethical-use-animals-medicine-testing" TargetMode="External"/><Relationship Id="rId5" Type="http://schemas.openxmlformats.org/officeDocument/2006/relationships/hyperlink" Target="https://www.lek.com/sites/default/files/PDFs/financial-ecosystem-rd.pdf" TargetMode="External"/><Relationship Id="rId61" Type="http://schemas.openxmlformats.org/officeDocument/2006/relationships/hyperlink" Target="https://www.ema.europa.eu/en/human-regulatory/post-authorisation/referral-procedures/nitrosamine-impurities" TargetMode="External"/><Relationship Id="rId19" Type="http://schemas.openxmlformats.org/officeDocument/2006/relationships/hyperlink" Target="https://www.efpia.eu/media/s4qf1eqo/efpia_patient_wait_indicator_final_report.pdf" TargetMode="External"/><Relationship Id="rId14" Type="http://schemas.openxmlformats.org/officeDocument/2006/relationships/hyperlink" Target="https://dolon.com/dolon/wp-content/uploads/2020/10/Estimated-impact-of-EU-Orphan-Regulation-on-incentives-for-innovation.pdf" TargetMode="External"/><Relationship Id="rId22" Type="http://schemas.openxmlformats.org/officeDocument/2006/relationships/hyperlink" Target="https://www.eucope.org/wp-content/uploads/2020/04/ohe-omp-regulation-28-feb-2020-fv.pdf" TargetMode="External"/><Relationship Id="rId27" Type="http://schemas.openxmlformats.org/officeDocument/2006/relationships/hyperlink" Target="https://bfi.uchicago.edu/wp-content/uploads/2021/09/BFI_WP_2021-108.pdf" TargetMode="External"/><Relationship Id="rId30" Type="http://schemas.openxmlformats.org/officeDocument/2006/relationships/hyperlink" Target="https://ec.europa.eu/info/law/better-regulation/have-your-say/initiatives/12959-Chemicals-legislation-revision-of-REACH-Regulation-to-help-achieve-a-toxic-free-environment_enone" TargetMode="External"/><Relationship Id="rId35" Type="http://schemas.openxmlformats.org/officeDocument/2006/relationships/hyperlink" Target="https://health.ec.europa.eu/publications/impact-assessment-report-and-executive-summary-accompanying-revision-general-pharmaceutical_en" TargetMode="External"/><Relationship Id="rId43" Type="http://schemas.openxmlformats.org/officeDocument/2006/relationships/hyperlink" Target="https://www.ncbi.nlm.nih.gov/pmc/articles/PMC6409418/" TargetMode="External"/><Relationship Id="rId48" Type="http://schemas.openxmlformats.org/officeDocument/2006/relationships/hyperlink" Target="https://ec.europa.eu/eurostat/databrowser/view/DEMO_GIND/default/table?lang=en" TargetMode="External"/><Relationship Id="rId56" Type="http://schemas.openxmlformats.org/officeDocument/2006/relationships/hyperlink" Target="https://echa.europa.eu/-/echa-publishes-pfas-restriction-proposal" TargetMode="External"/><Relationship Id="rId64" Type="http://schemas.openxmlformats.org/officeDocument/2006/relationships/hyperlink" Target="https://www.europarl.europa.eu/thinktank/en/document/EPRS_BRI(2023)745707" TargetMode="External"/><Relationship Id="rId8" Type="http://schemas.openxmlformats.org/officeDocument/2006/relationships/hyperlink" Target="https://dolon.com/wp-content/uploads/2023/09/Impact-of-changes-to-Orphan-Regulation-Dolon-Report.pdf?x83136" TargetMode="External"/><Relationship Id="rId51" Type="http://schemas.openxmlformats.org/officeDocument/2006/relationships/hyperlink" Target="https://dolon.com/dolon/wp-content/uploads/2020/10/Estimated-impact-of-EU-Orphan-Regulation-on-incentives-for-innovation.pdf" TargetMode="External"/><Relationship Id="rId3" Type="http://schemas.openxmlformats.org/officeDocument/2006/relationships/hyperlink" Target="https://www.efpia.eu/media/gy5j1nkt/efpia-recommendations-on-the-revision-of-the-pharmaceutical-package.pdf" TargetMode="External"/><Relationship Id="rId12" Type="http://schemas.openxmlformats.org/officeDocument/2006/relationships/hyperlink" Target="https://health.ec.europa.eu/system/files/2023-04/swd_2023_192_1_ia_en.pdf" TargetMode="External"/><Relationship Id="rId17" Type="http://schemas.openxmlformats.org/officeDocument/2006/relationships/hyperlink" Target="https://www.ncbi.nlm.nih.gov/pmc/articles/PMC6409418/" TargetMode="External"/><Relationship Id="rId25" Type="http://schemas.openxmlformats.org/officeDocument/2006/relationships/hyperlink" Target="https://health.ec.europa.eu/system/files/2023-04/swd_2023_192_1_ia_en.pdf" TargetMode="External"/><Relationship Id="rId33" Type="http://schemas.openxmlformats.org/officeDocument/2006/relationships/hyperlink" Target="https://www.tlv.se/download/18.9e9341817f9775950bd276/1647586496454/international_price_comparison_2021_107-2022.pdf" TargetMode="External"/><Relationship Id="rId38" Type="http://schemas.openxmlformats.org/officeDocument/2006/relationships/hyperlink" Target="https://dolon.com/wp-content/uploads/2023/09/Impact-of-changes-to-Orphan-Regulation-Dolon-Report.pdf?x83136" TargetMode="External"/><Relationship Id="rId46" Type="http://schemas.openxmlformats.org/officeDocument/2006/relationships/hyperlink" Target="https://dolon.com/wp-content/uploads/2023/09/Impact-of-changes-to-Orphan-Regulation-Dolon-Report.pdf?x83136" TargetMode="External"/><Relationship Id="rId59" Type="http://schemas.openxmlformats.org/officeDocument/2006/relationships/hyperlink" Target="https://single-market-economy.ec.europa.eu/publications/commission-regulation-eu-amending-reach-regulation-regards-synthetic-polymer-microparticles_en" TargetMode="External"/><Relationship Id="rId67" Type="http://schemas.openxmlformats.org/officeDocument/2006/relationships/hyperlink" Target="https://finance.ec.europa.eu/sustainable-finance/tools-and-standards/eu-taxonomy-sustainable-activities_en" TargetMode="External"/><Relationship Id="rId20" Type="http://schemas.openxmlformats.org/officeDocument/2006/relationships/hyperlink" Target="https://dolon.com/dolon/wp-content/uploads/2020/10/Estimated-impact-of-EU-Orphan-Regulation-on-incentives-for-innovation.pdf" TargetMode="External"/><Relationship Id="rId41" Type="http://schemas.openxmlformats.org/officeDocument/2006/relationships/hyperlink" Target="https://www.efpia.eu/media/rm4kzdlx/the-pharmaceutical-industry-in-figures-2023.pdf" TargetMode="External"/><Relationship Id="rId54" Type="http://schemas.openxmlformats.org/officeDocument/2006/relationships/hyperlink" Target="https://health.ec.europa.eu/medicinal-products/pharmaceutical-strategy-europe/reform-eu-pharmaceutical-legislation_en" TargetMode="External"/><Relationship Id="rId62" Type="http://schemas.openxmlformats.org/officeDocument/2006/relationships/hyperlink" Target="https://environment.ec.europa.eu/topics/water/urban-wastewater_en" TargetMode="External"/><Relationship Id="rId1" Type="http://schemas.openxmlformats.org/officeDocument/2006/relationships/hyperlink" Target="https://health.ec.europa.eu/medicinal-products/pharmaceutical-strategy-europe_en" TargetMode="External"/><Relationship Id="rId6" Type="http://schemas.openxmlformats.org/officeDocument/2006/relationships/hyperlink" Target="https://www.lek.com/insights/sr/financial-ecosystem-pharmaceutical-rd" TargetMode="External"/><Relationship Id="rId15" Type="http://schemas.openxmlformats.org/officeDocument/2006/relationships/hyperlink" Target="https://dolon.com/wp-content/uploads/2023/09/Impact-of-changes-to-Orphan-Regulation-Dolon-Report.pdf?x83136" TargetMode="External"/><Relationship Id="rId23" Type="http://schemas.openxmlformats.org/officeDocument/2006/relationships/hyperlink" Target="https://op.europa.eu/en/publication-detail/-/publication/eaa91cf0-e3e9-11ed-a05c-01aa75ed71a1" TargetMode="External"/><Relationship Id="rId28" Type="http://schemas.openxmlformats.org/officeDocument/2006/relationships/hyperlink" Target="https://www.efpia.eu/media/rm4kzdlx/the-pharmaceutical-industry-in-figures-2023.pdf" TargetMode="External"/><Relationship Id="rId36" Type="http://schemas.openxmlformats.org/officeDocument/2006/relationships/hyperlink" Target="https://www.efpia.eu/media/s4qf1eqo/efpia_patient_wait_indicator_final_report.pdf" TargetMode="External"/><Relationship Id="rId49" Type="http://schemas.openxmlformats.org/officeDocument/2006/relationships/hyperlink" Target="https://www.efpia.eu/media/s4qf1eqo/efpia_patient_wait_indicator_final_report.pdf" TargetMode="External"/><Relationship Id="rId57" Type="http://schemas.openxmlformats.org/officeDocument/2006/relationships/hyperlink" Target="https://ec.europa.eu/info/law/better-regulation/have-your-say/initiatives/12959-Chemicals-legislation-revision-of-REACH-Regulation-to-help-achieve-a-toxic-free-environment_en" TargetMode="External"/><Relationship Id="rId10" Type="http://schemas.openxmlformats.org/officeDocument/2006/relationships/hyperlink" Target="https://health.ec.europa.eu/system/files/2023-04/swd_2023_192_1_ia_en.pdf" TargetMode="External"/><Relationship Id="rId31" Type="http://schemas.openxmlformats.org/officeDocument/2006/relationships/hyperlink" Target="https://echa.europa.eu/documents/10162/21877836/efsa-echa-position-paper-osoa_en.pdf/74b1ae31-290b-a608-85e9-05b340840b34" TargetMode="External"/><Relationship Id="rId44" Type="http://schemas.openxmlformats.org/officeDocument/2006/relationships/hyperlink" Target="https://www.efpia.eu/media/s4qf1eqo/efpia_patient_wait_indicator_final_report.pdf" TargetMode="External"/><Relationship Id="rId52" Type="http://schemas.openxmlformats.org/officeDocument/2006/relationships/hyperlink" Target="https://dolon.com/wp-content/uploads/2023/09/Impact-of-changes-to-Orphan-Regulation-Dolon-Report.pdf?x83136" TargetMode="External"/><Relationship Id="rId60" Type="http://schemas.openxmlformats.org/officeDocument/2006/relationships/hyperlink" Target="https://food.ec.europa.eu/safety/food-improvement-agents/additives/re-evaluation_en" TargetMode="External"/><Relationship Id="rId65" Type="http://schemas.openxmlformats.org/officeDocument/2006/relationships/hyperlink" Target="https://finance.ec.europa.eu/capital-markets-union-and-financial-markets/company-reporting-and-auditing/company-reporting/corporate-sustainability-reporting_en" TargetMode="External"/><Relationship Id="rId4" Type="http://schemas.openxmlformats.org/officeDocument/2006/relationships/hyperlink" Target="https://health.ec.europa.eu/publications/impact-assessment-report-and-executive-summary-accompanying-revision-general-pharmaceutical_en" TargetMode="External"/><Relationship Id="rId9" Type="http://schemas.openxmlformats.org/officeDocument/2006/relationships/hyperlink" Target="https://www.lek.com/insights/ei/how-inflation-reduction-act-will-impact-biopharmaceutical-industry" TargetMode="External"/><Relationship Id="rId13" Type="http://schemas.openxmlformats.org/officeDocument/2006/relationships/hyperlink" Target="https://www.efpia.eu/media/rm4kzdlx/the-pharmaceutical-industry-in-figures-2023.pdf" TargetMode="External"/><Relationship Id="rId18" Type="http://schemas.openxmlformats.org/officeDocument/2006/relationships/hyperlink" Target="https://www.ncbi.nlm.nih.gov/pmc/articles/PMC6409418/" TargetMode="External"/><Relationship Id="rId39" Type="http://schemas.openxmlformats.org/officeDocument/2006/relationships/hyperlink" Target="https://health.ec.europa.eu/publications/impact-assessment-report-and-executive-summary-accompanying-revision-general-pharmaceutical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ren\AppData\Roaming\Microsoft\Templates\Dol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1EEA069E9BE449CFDB52F8C83CD5D" ma:contentTypeVersion="3" ma:contentTypeDescription="Create a new document." ma:contentTypeScope="" ma:versionID="e5805716d839c0cd711242c6ed0dd931">
  <xsd:schema xmlns:xsd="http://www.w3.org/2001/XMLSchema" xmlns:xs="http://www.w3.org/2001/XMLSchema" xmlns:p="http://schemas.microsoft.com/office/2006/metadata/properties" xmlns:ns2="659b3309-1978-47ac-b144-9e2ac9ef1fdb" targetNamespace="http://schemas.microsoft.com/office/2006/metadata/properties" ma:root="true" ma:fieldsID="04173d03d2d5c98a29f982e26ec8f40c" ns2:_="">
    <xsd:import namespace="659b3309-1978-47ac-b144-9e2ac9ef1f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b3309-1978-47ac-b144-9e2ac9ef1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49A88DE5E9F8A4592893052F7A19942" ma:contentTypeVersion="7" ma:contentTypeDescription="Create a new document." ma:contentTypeScope="" ma:versionID="a7915fa3e39f75c928936bba474314bf">
  <xsd:schema xmlns:xsd="http://www.w3.org/2001/XMLSchema" xmlns:xs="http://www.w3.org/2001/XMLSchema" xmlns:p="http://schemas.microsoft.com/office/2006/metadata/properties" xmlns:ns2="f9c534a0-34df-4179-a336-5889c9ce2977" xmlns:ns3="aefa7c60-7027-4a59-905d-0a7498902fca" targetNamespace="http://schemas.microsoft.com/office/2006/metadata/properties" ma:root="true" ma:fieldsID="be739d71650337d47dd45fee653f80d7" ns2:_="" ns3:_="">
    <xsd:import namespace="f9c534a0-34df-4179-a336-5889c9ce2977"/>
    <xsd:import namespace="aefa7c60-7027-4a59-905d-0a7498902f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534a0-34df-4179-a336-5889c9ce2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fa7c60-7027-4a59-905d-0a7498902f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9EBCE-4C25-4B84-9658-24BA0BE3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b3309-1978-47ac-b144-9e2ac9ef1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9F657-83A2-41ED-89DD-9D65F6E0E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534a0-34df-4179-a336-5889c9ce2977"/>
    <ds:schemaRef ds:uri="aefa7c60-7027-4a59-905d-0a7498902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CB49A-237D-4C44-990B-EAE004A14FD2}">
  <ds:schemaRefs>
    <ds:schemaRef ds:uri="http://schemas.openxmlformats.org/officeDocument/2006/bibliography"/>
  </ds:schemaRefs>
</ds:datastoreItem>
</file>

<file path=customXml/itemProps4.xml><?xml version="1.0" encoding="utf-8"?>
<ds:datastoreItem xmlns:ds="http://schemas.openxmlformats.org/officeDocument/2006/customXml" ds:itemID="{C215519D-BC90-4AB5-B5BE-9DCF0581507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DA223C5-ED66-44B1-968F-A5AF1A917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Dolon Template.dotx</Template>
  <TotalTime>1</TotalTime>
  <Pages>26</Pages>
  <Words>9077</Words>
  <Characters>49928</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58888</CharactersWithSpaces>
  <SharedDoc>false</SharedDoc>
  <HLinks>
    <vt:vector size="24" baseType="variant">
      <vt:variant>
        <vt:i4>6160420</vt:i4>
      </vt:variant>
      <vt:variant>
        <vt:i4>9</vt:i4>
      </vt:variant>
      <vt:variant>
        <vt:i4>0</vt:i4>
      </vt:variant>
      <vt:variant>
        <vt:i4>5</vt:i4>
      </vt:variant>
      <vt:variant>
        <vt:lpwstr>mailto:emilie.neez@dolon.com</vt:lpwstr>
      </vt:variant>
      <vt:variant>
        <vt:lpwstr/>
      </vt:variant>
      <vt:variant>
        <vt:i4>589946</vt:i4>
      </vt:variant>
      <vt:variant>
        <vt:i4>6</vt:i4>
      </vt:variant>
      <vt:variant>
        <vt:i4>0</vt:i4>
      </vt:variant>
      <vt:variant>
        <vt:i4>5</vt:i4>
      </vt:variant>
      <vt:variant>
        <vt:lpwstr>mailto:lindsay.kreill@dolon.com</vt:lpwstr>
      </vt:variant>
      <vt:variant>
        <vt:lpwstr/>
      </vt:variant>
      <vt:variant>
        <vt:i4>589946</vt:i4>
      </vt:variant>
      <vt:variant>
        <vt:i4>3</vt:i4>
      </vt:variant>
      <vt:variant>
        <vt:i4>0</vt:i4>
      </vt:variant>
      <vt:variant>
        <vt:i4>5</vt:i4>
      </vt:variant>
      <vt:variant>
        <vt:lpwstr>mailto:lindsay.kreill@dolon.com</vt:lpwstr>
      </vt:variant>
      <vt:variant>
        <vt:lpwstr/>
      </vt:variant>
      <vt:variant>
        <vt:i4>131087</vt:i4>
      </vt:variant>
      <vt:variant>
        <vt:i4>0</vt:i4>
      </vt:variant>
      <vt:variant>
        <vt:i4>0</vt:i4>
      </vt:variant>
      <vt:variant>
        <vt:i4>5</vt:i4>
      </vt:variant>
      <vt:variant>
        <vt:lpwstr>https://jakemp.com/en/briefings/data-exclusivity-and-market-protection-in-the-eu-eea-and-uk/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dc:creator>
  <cp:keywords/>
  <dc:description/>
  <cp:lastModifiedBy>Alberto Vigario</cp:lastModifiedBy>
  <cp:revision>2</cp:revision>
  <dcterms:created xsi:type="dcterms:W3CDTF">2023-11-06T09:47:00Z</dcterms:created>
  <dcterms:modified xsi:type="dcterms:W3CDTF">2023-11-06T09:47:00Z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0x0101008B31EEA069E9BE449CFDB52F8C83CD5D</vt:lpwstr>
  </property>
  <property fmtid="{D5CDD505-2E9C-101B-9397-08002B2CF9AE}" pid="3" name="MSIP_Label_4791b42f-c435-42ca-9531-75a3f42aae3d_Enabled">
    <vt:lpwstr>true</vt:lpwstr>
  </property>
  <property fmtid="{D5CDD505-2E9C-101B-9397-08002B2CF9AE}" pid="4" name="MSIP_Label_4791b42f-c435-42ca-9531-75a3f42aae3d_SetDate">
    <vt:lpwstr>2023-09-26T07:36:38Z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848f0cca-0f23-40c3-b224-9da2189c45cb</vt:lpwstr>
  </property>
  <property fmtid="{D5CDD505-2E9C-101B-9397-08002B2CF9AE}" pid="9" name="MSIP_Label_4791b42f-c435-42ca-9531-75a3f42aae3d_ContentBits">
    <vt:lpwstr>0</vt:lpwstr>
  </property>
</Properties>
</file>